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F1FA6" w:rsidRDefault="007F1FA6" w:rsidP="007F1FA6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7F1FA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Губернатора Камчатского края от</w:t>
            </w:r>
            <w:r w:rsidRPr="007F1FA6">
              <w:rPr>
                <w:rFonts w:ascii="Times New Roman" w:hAnsi="Times New Roman"/>
                <w:b/>
                <w:sz w:val="28"/>
              </w:rPr>
              <w:t xml:space="preserve"> 19.12.2023 №56 «</w:t>
            </w:r>
            <w:r w:rsidR="00BF59E3" w:rsidRPr="007F1FA6">
              <w:rPr>
                <w:rFonts w:ascii="Times New Roman" w:hAnsi="Times New Roman"/>
                <w:b/>
                <w:sz w:val="28"/>
              </w:rPr>
              <w:t xml:space="preserve">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      </w:r>
          </w:p>
          <w:p w:rsidR="00405498" w:rsidRPr="007F1FA6" w:rsidRDefault="00BF59E3" w:rsidP="007F1FA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F1FA6">
              <w:rPr>
                <w:rFonts w:ascii="Times New Roman" w:hAnsi="Times New Roman"/>
                <w:b/>
                <w:sz w:val="28"/>
              </w:rPr>
              <w:t>в Камчатском крае на 2024-2028 годы</w:t>
            </w:r>
            <w:r w:rsidR="007F1FA6" w:rsidRPr="007F1FA6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Pr="007F1FA6" w:rsidRDefault="00E95CE2" w:rsidP="007F1F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1FA6">
        <w:rPr>
          <w:rFonts w:ascii="Times New Roman" w:hAnsi="Times New Roman"/>
          <w:sz w:val="28"/>
        </w:rPr>
        <w:t>В соответствии со статьей 157</w:t>
      </w:r>
      <w:r w:rsidRPr="007F1FA6">
        <w:rPr>
          <w:rFonts w:ascii="Times New Roman" w:hAnsi="Times New Roman"/>
          <w:sz w:val="28"/>
          <w:vertAlign w:val="superscript"/>
        </w:rPr>
        <w:t>1</w:t>
      </w:r>
      <w:r w:rsidR="00BF59E3" w:rsidRPr="007F1FA6">
        <w:rPr>
          <w:rFonts w:ascii="Times New Roman" w:hAnsi="Times New Roman"/>
          <w:sz w:val="28"/>
        </w:rPr>
        <w:t xml:space="preserve"> Жилищного кодекса Российской Фе</w:t>
      </w:r>
      <w:r w:rsidRPr="007F1FA6">
        <w:rPr>
          <w:rFonts w:ascii="Times New Roman" w:hAnsi="Times New Roman"/>
          <w:sz w:val="28"/>
        </w:rPr>
        <w:t>дерации, п</w:t>
      </w:r>
      <w:r w:rsidR="00BF59E3" w:rsidRPr="007F1FA6">
        <w:rPr>
          <w:rFonts w:ascii="Times New Roman" w:hAnsi="Times New Roman"/>
          <w:sz w:val="28"/>
        </w:rPr>
        <w:t xml:space="preserve">остановлением Правительства Российской Федерации </w:t>
      </w:r>
      <w:r w:rsidRPr="007F1FA6">
        <w:rPr>
          <w:rFonts w:ascii="Times New Roman" w:hAnsi="Times New Roman"/>
          <w:sz w:val="28"/>
        </w:rPr>
        <w:br/>
      </w:r>
      <w:r w:rsidR="00BF59E3" w:rsidRPr="007F1FA6">
        <w:rPr>
          <w:rFonts w:ascii="Times New Roman" w:hAnsi="Times New Roman"/>
          <w:sz w:val="28"/>
        </w:rPr>
        <w:t>от 30.04.2014 № 400 «О формировании индексов изменения размера платы граждан за коммунальные у</w:t>
      </w:r>
      <w:r w:rsidRPr="007F1FA6">
        <w:rPr>
          <w:rFonts w:ascii="Times New Roman" w:hAnsi="Times New Roman"/>
          <w:sz w:val="28"/>
        </w:rPr>
        <w:t>слуги в Российской Федерации», р</w:t>
      </w:r>
      <w:r w:rsidR="00BF59E3" w:rsidRPr="007F1FA6">
        <w:rPr>
          <w:rFonts w:ascii="Times New Roman" w:hAnsi="Times New Roman"/>
          <w:sz w:val="28"/>
        </w:rPr>
        <w:t>аспоряжением Правительства Российской Федерации от 1</w:t>
      </w:r>
      <w:r w:rsidR="007F1FA6" w:rsidRPr="007F1FA6">
        <w:rPr>
          <w:rFonts w:ascii="Times New Roman" w:hAnsi="Times New Roman"/>
          <w:sz w:val="28"/>
        </w:rPr>
        <w:t>5</w:t>
      </w:r>
      <w:r w:rsidR="00BF59E3" w:rsidRPr="007F1FA6">
        <w:rPr>
          <w:rFonts w:ascii="Times New Roman" w:hAnsi="Times New Roman"/>
          <w:sz w:val="28"/>
        </w:rPr>
        <w:t>.11.202</w:t>
      </w:r>
      <w:r w:rsidR="007F1FA6" w:rsidRPr="007F1FA6">
        <w:rPr>
          <w:rFonts w:ascii="Times New Roman" w:hAnsi="Times New Roman"/>
          <w:sz w:val="28"/>
        </w:rPr>
        <w:t>4</w:t>
      </w:r>
      <w:r w:rsidR="00BF59E3" w:rsidRPr="007F1FA6">
        <w:rPr>
          <w:rFonts w:ascii="Times New Roman" w:hAnsi="Times New Roman"/>
          <w:sz w:val="28"/>
        </w:rPr>
        <w:t xml:space="preserve"> № </w:t>
      </w:r>
      <w:r w:rsidR="007F1FA6" w:rsidRPr="007F1FA6">
        <w:rPr>
          <w:rFonts w:ascii="Times New Roman" w:hAnsi="Times New Roman"/>
          <w:sz w:val="28"/>
        </w:rPr>
        <w:t>3287</w:t>
      </w:r>
      <w:r w:rsidR="00BF59E3" w:rsidRPr="007F1FA6">
        <w:rPr>
          <w:rFonts w:ascii="Times New Roman" w:hAnsi="Times New Roman"/>
          <w:sz w:val="28"/>
        </w:rPr>
        <w:t>-р</w:t>
      </w:r>
    </w:p>
    <w:p w:rsidR="00BF59E3" w:rsidRPr="007F1FA6" w:rsidRDefault="00BF59E3" w:rsidP="007F1F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Pr="007F1FA6" w:rsidRDefault="001608B0" w:rsidP="007F1F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1FA6">
        <w:rPr>
          <w:rFonts w:ascii="Times New Roman" w:hAnsi="Times New Roman"/>
          <w:sz w:val="28"/>
        </w:rPr>
        <w:t>ПОСТАНОВЛЯЮ:</w:t>
      </w:r>
    </w:p>
    <w:p w:rsidR="00405498" w:rsidRPr="007F1FA6" w:rsidRDefault="00405498" w:rsidP="007F1F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F1FA6" w:rsidRPr="007F1FA6" w:rsidRDefault="00BF59E3" w:rsidP="007F1FA6">
      <w:pPr>
        <w:spacing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1FA6">
        <w:rPr>
          <w:rFonts w:ascii="Times New Roman" w:hAnsi="Times New Roman"/>
          <w:sz w:val="28"/>
        </w:rPr>
        <w:t>1.</w:t>
      </w:r>
      <w:r w:rsidR="007F1FA6"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Внести в постановление Губернатора Камчатского края от </w:t>
      </w:r>
      <w:r w:rsid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19</w:t>
      </w:r>
      <w:r w:rsidR="007F1FA6"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.12.20</w:t>
      </w:r>
      <w:r w:rsid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23</w:t>
      </w:r>
      <w:r w:rsidR="007F1FA6"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№</w:t>
      </w:r>
      <w:r w:rsid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56</w:t>
      </w:r>
      <w:r w:rsidR="007F1FA6"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Камчатском крае на 20</w:t>
      </w:r>
      <w:r w:rsid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24-</w:t>
      </w:r>
      <w:r w:rsidR="007F1FA6"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20</w:t>
      </w:r>
      <w:r w:rsid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28</w:t>
      </w:r>
      <w:r w:rsidR="007F1FA6"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годы» следующие изменения: </w:t>
      </w:r>
    </w:p>
    <w:p w:rsidR="007F1FA6" w:rsidRPr="007F1FA6" w:rsidRDefault="007F1FA6" w:rsidP="007F1FA6">
      <w:pPr>
        <w:spacing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1) дополнить частью 2</w:t>
      </w:r>
      <w:r w:rsidR="00337EAF">
        <w:rPr>
          <w:rFonts w:ascii="Times New Roman" w:eastAsiaTheme="minorHAnsi" w:hAnsi="Times New Roman"/>
          <w:bCs/>
          <w:sz w:val="28"/>
          <w:szCs w:val="28"/>
          <w:vertAlign w:val="superscript"/>
          <w:lang w:eastAsia="en-US"/>
        </w:rPr>
        <w:t xml:space="preserve">1 </w:t>
      </w:r>
      <w:r w:rsidR="00337EAF">
        <w:rPr>
          <w:rFonts w:ascii="Times New Roman" w:eastAsiaTheme="minorHAnsi" w:hAnsi="Times New Roman"/>
          <w:bCs/>
          <w:sz w:val="28"/>
          <w:szCs w:val="28"/>
          <w:lang w:eastAsia="en-US"/>
        </w:rPr>
        <w:t>сл</w:t>
      </w: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едующего содержания:</w:t>
      </w:r>
    </w:p>
    <w:p w:rsidR="007F1FA6" w:rsidRPr="007F1FA6" w:rsidRDefault="007F1FA6" w:rsidP="007F1FA6">
      <w:pPr>
        <w:spacing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«2</w:t>
      </w:r>
      <w:r w:rsidR="00337EAF">
        <w:rPr>
          <w:rFonts w:ascii="Times New Roman" w:eastAsiaTheme="minorHAnsi" w:hAnsi="Times New Roman"/>
          <w:bCs/>
          <w:sz w:val="28"/>
          <w:szCs w:val="28"/>
          <w:vertAlign w:val="superscript"/>
          <w:lang w:eastAsia="en-US"/>
        </w:rPr>
        <w:t>1</w:t>
      </w: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Утвердить 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в Камчатском крае на 202</w:t>
      </w:r>
      <w:r w:rsidR="00337EAF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 согласно приложению </w:t>
      </w:r>
      <w:r w:rsidR="00337EAF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 настоящему постановлению.»;</w:t>
      </w:r>
    </w:p>
    <w:p w:rsidR="007F1FA6" w:rsidRPr="007F1FA6" w:rsidRDefault="007F1FA6" w:rsidP="007F1FA6">
      <w:pPr>
        <w:spacing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>2) приложение 1 изложить в редакции согласно приложению 1 к настоящему постановлению;</w:t>
      </w:r>
    </w:p>
    <w:p w:rsidR="007F1FA6" w:rsidRPr="007F1FA6" w:rsidRDefault="007F1FA6" w:rsidP="007F1FA6">
      <w:pPr>
        <w:spacing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3) дополнить приложением </w:t>
      </w:r>
      <w:r w:rsidR="00337EAF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2 к настоящему постановлению. </w:t>
      </w:r>
    </w:p>
    <w:p w:rsidR="007F1FA6" w:rsidRPr="007F1FA6" w:rsidRDefault="007F1FA6" w:rsidP="007F1FA6">
      <w:pPr>
        <w:spacing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202</w:t>
      </w:r>
      <w:r w:rsidR="00337EAF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7F1F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года.</w:t>
      </w:r>
    </w:p>
    <w:p w:rsidR="007F1FA6" w:rsidRPr="007F1FA6" w:rsidRDefault="007F1FA6" w:rsidP="007F1FA6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1FA6" w:rsidRPr="007F1FA6" w:rsidRDefault="007F1FA6" w:rsidP="007F1F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Pr="007F1FA6" w:rsidRDefault="00405498" w:rsidP="007F1F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95CE2" w:rsidRPr="007F1FA6" w:rsidRDefault="00E95CE2" w:rsidP="007F1F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Pr="007F1FA6" w:rsidRDefault="00405498" w:rsidP="007F1F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D0D16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337EAF" w:rsidRDefault="00337EAF"/>
    <w:p w:rsidR="00337EAF" w:rsidRDefault="00337EAF">
      <w:r>
        <w:br w:type="page"/>
      </w:r>
    </w:p>
    <w:p w:rsidR="00405498" w:rsidRDefault="00405498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E95CE2">
              <w:rPr>
                <w:rFonts w:ascii="Times New Roman" w:hAnsi="Times New Roman"/>
                <w:sz w:val="28"/>
              </w:rPr>
              <w:t xml:space="preserve"> 1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05498" w:rsidRDefault="00405498">
      <w:pPr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37EAF" w:rsidTr="00A97BE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1 к постановлению</w:t>
            </w:r>
          </w:p>
        </w:tc>
      </w:tr>
      <w:tr w:rsidR="00337EAF" w:rsidTr="00A97BE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337EAF" w:rsidRPr="00337EAF" w:rsidTr="00A97BE9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337EAF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337EAF">
            <w:pPr>
              <w:spacing w:after="60"/>
              <w:ind w:left="8079" w:hanging="8079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37EAF">
              <w:rPr>
                <w:rFonts w:ascii="Times New Roman" w:hAnsi="Times New Roman"/>
                <w:color w:val="auto"/>
                <w:sz w:val="28"/>
              </w:rPr>
              <w:t>19.12.2023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337EAF">
            <w:pPr>
              <w:spacing w:after="60"/>
              <w:ind w:left="8079" w:hanging="8079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37EAF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337EAF">
            <w:pPr>
              <w:spacing w:after="60"/>
              <w:ind w:left="8079" w:hanging="8079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56</w:t>
            </w:r>
          </w:p>
        </w:tc>
      </w:tr>
    </w:tbl>
    <w:p w:rsidR="00337EAF" w:rsidRPr="00337EAF" w:rsidRDefault="00337EAF">
      <w:pPr>
        <w:rPr>
          <w:rFonts w:ascii="Times New Roman" w:hAnsi="Times New Roman"/>
          <w:color w:val="auto"/>
          <w:sz w:val="24"/>
        </w:rPr>
      </w:pPr>
    </w:p>
    <w:p w:rsidR="001D0D16" w:rsidRDefault="001D0D16" w:rsidP="001D0D1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D0D16">
        <w:rPr>
          <w:rFonts w:ascii="Times New Roman" w:hAnsi="Times New Roman"/>
          <w:sz w:val="28"/>
        </w:rPr>
        <w:t xml:space="preserve">Предельные (максимальные) индексы </w:t>
      </w:r>
      <w:r w:rsidR="00E95CE2">
        <w:rPr>
          <w:rFonts w:ascii="Times New Roman" w:hAnsi="Times New Roman"/>
          <w:sz w:val="28"/>
        </w:rPr>
        <w:br/>
      </w:r>
      <w:r w:rsidRPr="001D0D16">
        <w:rPr>
          <w:rFonts w:ascii="Times New Roman" w:hAnsi="Times New Roman"/>
          <w:sz w:val="28"/>
        </w:rPr>
        <w:t>изменения размера вносимой гражданами платы за коммунальные услуги в муниципа</w:t>
      </w:r>
      <w:r>
        <w:rPr>
          <w:rFonts w:ascii="Times New Roman" w:hAnsi="Times New Roman"/>
          <w:sz w:val="28"/>
        </w:rPr>
        <w:t>льных образованиях в Камчатском </w:t>
      </w:r>
      <w:r w:rsidRPr="001D0D16">
        <w:rPr>
          <w:rFonts w:ascii="Times New Roman" w:hAnsi="Times New Roman"/>
          <w:sz w:val="28"/>
        </w:rPr>
        <w:t>крае на 20</w:t>
      </w:r>
      <w:r w:rsidR="00E95CE2">
        <w:rPr>
          <w:rFonts w:ascii="Times New Roman" w:hAnsi="Times New Roman"/>
          <w:sz w:val="28"/>
        </w:rPr>
        <w:t>24–</w:t>
      </w:r>
      <w:r>
        <w:rPr>
          <w:rFonts w:ascii="Times New Roman" w:hAnsi="Times New Roman"/>
          <w:sz w:val="28"/>
        </w:rPr>
        <w:t>2028 годы</w:t>
      </w:r>
    </w:p>
    <w:p w:rsidR="001D0D16" w:rsidRDefault="001D0D16" w:rsidP="001D0D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7"/>
        <w:gridCol w:w="3133"/>
        <w:gridCol w:w="2443"/>
        <w:gridCol w:w="3264"/>
      </w:tblGrid>
      <w:tr w:rsidR="0000535F" w:rsidRPr="0000535F" w:rsidTr="0000535F">
        <w:trPr>
          <w:cantSplit/>
          <w:trHeight w:val="60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№</w:t>
            </w: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br/>
              <w:t>п/п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Муниципальное образование </w:t>
            </w:r>
            <w:r w:rsidR="00E95CE2">
              <w:rPr>
                <w:rFonts w:ascii="Times New Roman" w:eastAsia="Calibri" w:hAnsi="Times New Roman"/>
                <w:szCs w:val="22"/>
                <w:lang w:eastAsia="en-US"/>
              </w:rPr>
              <w:br/>
            </w: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в Камчатском крае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Год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Предельные индексы, *, **, ***</w:t>
            </w:r>
          </w:p>
        </w:tc>
      </w:tr>
    </w:tbl>
    <w:p w:rsidR="005B3F08" w:rsidRPr="005B3F08" w:rsidRDefault="005B3F08" w:rsidP="005B3F08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7"/>
        <w:gridCol w:w="3133"/>
        <w:gridCol w:w="2443"/>
        <w:gridCol w:w="3264"/>
      </w:tblGrid>
      <w:tr w:rsidR="005B3F08" w:rsidRPr="0000535F" w:rsidTr="005B3F08">
        <w:trPr>
          <w:cantSplit/>
          <w:trHeight w:val="88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08" w:rsidRPr="0000535F" w:rsidRDefault="005B3F08" w:rsidP="0000535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08" w:rsidRPr="0000535F" w:rsidRDefault="005B3F08" w:rsidP="0000535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08" w:rsidRPr="0000535F" w:rsidRDefault="005B3F08" w:rsidP="0000535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3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08" w:rsidRPr="0000535F" w:rsidRDefault="005B3F08" w:rsidP="0000535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4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Петропавловск-Камчатский городской округ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</w:p>
        </w:tc>
      </w:tr>
      <w:tr w:rsidR="00337EA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AF" w:rsidRPr="0000535F" w:rsidRDefault="00337EA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AF" w:rsidRPr="0000535F" w:rsidRDefault="00337EA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AF" w:rsidRPr="0000535F" w:rsidRDefault="00337EAF" w:rsidP="0000535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AF" w:rsidRPr="0000535F" w:rsidRDefault="00337EAF" w:rsidP="0000535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337EA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AF" w:rsidRPr="0000535F" w:rsidRDefault="00337EAF" w:rsidP="00337EA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AF" w:rsidRPr="0000535F" w:rsidRDefault="00337EAF" w:rsidP="00337EA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AF" w:rsidRPr="0000535F" w:rsidRDefault="00337EAF" w:rsidP="00337EA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AF" w:rsidRPr="0000535F" w:rsidRDefault="00337EAF" w:rsidP="00337EA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337EA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AF" w:rsidRPr="0000535F" w:rsidRDefault="00337EAF" w:rsidP="00337EA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AF" w:rsidRPr="0000535F" w:rsidRDefault="00337EAF" w:rsidP="00337EA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AF" w:rsidRPr="0000535F" w:rsidRDefault="00337EAF" w:rsidP="00337EA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AF" w:rsidRPr="0000535F" w:rsidRDefault="00337EAF" w:rsidP="00337EA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E95CE2" w:rsidP="00337EA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</w:t>
            </w:r>
            <w:r w:rsidR="00337EAF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5701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Елизовский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Елизовское городское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1A328E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Корякское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1A328E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Начикинское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1A328E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Николаевское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943CFC" w:rsidP="00943C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1A328E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Новоавачинское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1A328E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2.6.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Новолесновское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943CF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E95CE2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69754C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>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2.7.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Паратунское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943CF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1A328E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69754C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2.8.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Пионерское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1A328E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2.9.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Раздольненское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1A328E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2.10.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Вулканное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городское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4C" w:rsidRPr="0000535F" w:rsidRDefault="001A328E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69754C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3.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E95CE2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Мильковский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муниципальный округ 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3.1.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Атласовское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943CF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3.2.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Мильковское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Вилючинский городской округ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943CF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Усть-Большерецкий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Усть-Большерецкое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943CF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5701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Озерновское городское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5701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5.3.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Октябрьское городское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943CF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5701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Апачинское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69754C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C" w:rsidRPr="0000535F" w:rsidRDefault="0069754C" w:rsidP="0069754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69754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4C" w:rsidRPr="0000535F" w:rsidRDefault="00943CFC" w:rsidP="0069754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Запорожское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5.6.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Кавалерское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943CFC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6.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Соболевский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6.1.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Крутогоровское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943CFC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6.2.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Соболевское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6.3.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Устьевое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943CFC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7.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Усть-Камчатский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7.1.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Усть-Камчатское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943CFC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7.2.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Ключевское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сельское поселение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943CFC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7.3.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Козыревское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сельское поселение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8.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Быстринский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8.1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Эссовское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8.2.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Анавгайское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9.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E95CE2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Алеутский муниципальный округ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9.1.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Никольское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943CFC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Пенжинский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«село </w:t>
            </w: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Аянка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Каменское»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Манилы»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«село </w:t>
            </w: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Слаутное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Таловка»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943CFC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Карагинский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11.1.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Городское поселение «поселок Оссора»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Ивашка»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</w:t>
            </w:r>
            <w:r w:rsidR="00E95CE2">
              <w:rPr>
                <w:rFonts w:ascii="Times New Roman" w:eastAsia="Calibri" w:hAnsi="Times New Roman"/>
                <w:szCs w:val="22"/>
                <w:lang w:eastAsia="en-US"/>
              </w:rPr>
              <w:t>ьское поселение «село Ильпырский</w:t>
            </w: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«село </w:t>
            </w: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Карага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A97BE9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9" w:rsidRPr="0000535F" w:rsidRDefault="00A97BE9" w:rsidP="00A97B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E9" w:rsidRPr="0000535F" w:rsidRDefault="00A97BE9" w:rsidP="00A97B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Межселенные территории, входящие в состав территории Карагинского муниципального района, кроме территорий городского и сельских поселений, включая территорию упраздненного сельского поселения село Кострома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11.6.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«село </w:t>
            </w: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Тымлат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943CFC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Олюторский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Апука»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«село </w:t>
            </w: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Ачайваям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«село </w:t>
            </w: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Вывенка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Средние Пахачи»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Тиличики»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943CFC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12.6.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Пахачи»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943CFC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12.7.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«село </w:t>
            </w: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Хаилино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Городской округ «поселок Палана»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Тигильский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«село </w:t>
            </w: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Воямполка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«село </w:t>
            </w: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Ковран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943CFC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Лесная»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Седанка»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Тигиль»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14.6.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Усть-Хайрюзово»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943CFC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14.7.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«село </w:t>
            </w:r>
            <w:proofErr w:type="spellStart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Хайрюзово</w:t>
            </w:r>
            <w:proofErr w:type="spellEnd"/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213B90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90" w:rsidRPr="0000535F" w:rsidRDefault="00213B90" w:rsidP="00213B9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0" w:rsidRPr="0000535F" w:rsidRDefault="00213B90" w:rsidP="00213B9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11,9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69754C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2026–2028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1A328E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:rsidR="000559F1" w:rsidRDefault="000559F1" w:rsidP="00A31233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559F1" w:rsidRPr="00E31BF1" w:rsidRDefault="000559F1" w:rsidP="00A31233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E31BF1">
        <w:rPr>
          <w:rFonts w:ascii="Times New Roman" w:eastAsia="Calibri" w:hAnsi="Times New Roman"/>
          <w:sz w:val="24"/>
          <w:lang w:eastAsia="en-US"/>
        </w:rPr>
        <w:t xml:space="preserve">* 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Изменение (прирост) размера вносимой гражданами платы за коммунальные услуги в среднем по всем муниципальным образованиям в Камчатском крае не может превышать индекс изменения размера вносимой гражданами платы за коммунальные услуги в среднем </w:t>
      </w:r>
      <w:r w:rsidRPr="00E31BF1">
        <w:rPr>
          <w:rFonts w:ascii="Times New Roman" w:eastAsia="Calibri" w:hAnsi="Times New Roman"/>
          <w:sz w:val="24"/>
          <w:lang w:eastAsia="en-US"/>
        </w:rPr>
        <w:t>по Камчатскому краю;</w:t>
      </w:r>
    </w:p>
    <w:p w:rsidR="000559F1" w:rsidRPr="00E31BF1" w:rsidRDefault="000559F1" w:rsidP="00A31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2"/>
          <w:lang w:eastAsia="en-US"/>
        </w:rPr>
      </w:pPr>
      <w:r w:rsidRPr="00E31BF1">
        <w:rPr>
          <w:rFonts w:ascii="Times New Roman" w:eastAsia="Calibri" w:hAnsi="Times New Roman"/>
          <w:sz w:val="24"/>
          <w:lang w:eastAsia="en-US"/>
        </w:rPr>
        <w:t xml:space="preserve">** Предельные (максимальные) индексы изменения размера вносимой гражданами платы за коммунальные услуги в муниципальных образованиях в Камчатском крае не могут превышать индекс изменения размера вносимой гражданами платы за коммунальные услуги в среднем по Камчатскому краю более чем на величину предельно допустимого отклонения по отдельным муниципальным образованиям в Камчатском крае от величины среднего индекса изменения размера вносимой гражданами платы за коммунальные услуги по Камчатскому краю, за исключением случаев, предусмотренных разделом </w:t>
      </w:r>
      <w:r w:rsidRPr="00E31BF1">
        <w:rPr>
          <w:rFonts w:ascii="Times New Roman" w:eastAsia="Calibri" w:hAnsi="Times New Roman"/>
          <w:sz w:val="24"/>
          <w:lang w:val="en-US" w:eastAsia="en-US"/>
        </w:rPr>
        <w:t>IV</w:t>
      </w:r>
      <w:r w:rsidRPr="00E31BF1">
        <w:rPr>
          <w:rFonts w:ascii="Times New Roman" w:eastAsia="Calibri" w:hAnsi="Times New Roman"/>
          <w:sz w:val="24"/>
          <w:lang w:eastAsia="en-US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«</w:t>
      </w:r>
      <w:r w:rsidR="00E31BF1">
        <w:rPr>
          <w:rFonts w:ascii="Times New Roman" w:hAnsi="Times New Roman"/>
          <w:sz w:val="24"/>
        </w:rPr>
        <w:t>О </w:t>
      </w:r>
      <w:r w:rsidRPr="00E31BF1">
        <w:rPr>
          <w:rFonts w:ascii="Times New Roman" w:hAnsi="Times New Roman"/>
          <w:sz w:val="24"/>
        </w:rPr>
        <w:t>формировании индексов изменения размера платы граждан за коммунальные услуги в Российской Федерации»;</w:t>
      </w:r>
    </w:p>
    <w:p w:rsidR="000559F1" w:rsidRPr="00E31BF1" w:rsidRDefault="000559F1" w:rsidP="00A31233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Calibri" w:hAnsi="Times New Roman"/>
          <w:sz w:val="24"/>
          <w:szCs w:val="22"/>
          <w:lang w:eastAsia="en-US"/>
        </w:rPr>
        <w:t xml:space="preserve">*** </w:t>
      </w:r>
      <w:r w:rsidR="00A31233">
        <w:rPr>
          <w:rFonts w:ascii="Times New Roman" w:eastAsia="Arial Unicode MS" w:hAnsi="Times New Roman"/>
          <w:sz w:val="24"/>
          <w:u w:color="000000"/>
          <w:lang w:eastAsia="en-US"/>
        </w:rPr>
        <w:t>Предельные индексы на 2024–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>2028 годы устанавливаются в процентном выражении.</w:t>
      </w:r>
    </w:p>
    <w:p w:rsidR="000559F1" w:rsidRDefault="000559F1" w:rsidP="00A31233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</w:t>
      </w:r>
    </w:p>
    <w:p w:rsidR="008F1BA2" w:rsidRPr="00E31BF1" w:rsidRDefault="008F1BA2" w:rsidP="00A31233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</w:p>
    <w:p w:rsidR="000559F1" w:rsidRPr="00E31BF1" w:rsidRDefault="000559F1" w:rsidP="00A3123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>Примечания:</w:t>
      </w:r>
    </w:p>
    <w:p w:rsidR="000559F1" w:rsidRPr="00E31BF1" w:rsidRDefault="000559F1" w:rsidP="00A3123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1.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bPr>
          <m:e>
            <m:r>
              <w:rPr>
                <w:rFonts w:ascii="Cambria Math" w:hAnsi="Cambria Math"/>
                <w:sz w:val="24"/>
                <w:szCs w:val="22"/>
              </w:rPr>
              <m:t>Ипц</m:t>
            </m:r>
          </m:e>
          <m:sub>
            <m:r>
              <w:rPr>
                <w:rFonts w:ascii="Cambria Math" w:hAnsi="Cambria Math"/>
                <w:sz w:val="24"/>
                <w:szCs w:val="22"/>
                <w:lang w:val="en-US"/>
              </w:rPr>
              <m:t>g</m:t>
            </m:r>
            <m:r>
              <w:rPr>
                <w:rFonts w:ascii="Cambria Math" w:hAnsi="Cambria Math"/>
                <w:sz w:val="24"/>
                <w:szCs w:val="22"/>
              </w:rPr>
              <m:t>-1</m:t>
            </m:r>
          </m:sub>
        </m:sSub>
      </m:oMath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– индекс потребительских цен (декабрь к декабрю) согласно прогнозу социально-экономического развития Российской Федерации на год, предшествующий g-му году, на который рассчитываются индексы изменения размера вносимой гражданами платы за коммунальные услуги в среднем по субъект</w:t>
      </w:r>
      <w:r w:rsidR="00A31233">
        <w:rPr>
          <w:rFonts w:ascii="Times New Roman" w:eastAsia="Arial Unicode MS" w:hAnsi="Times New Roman"/>
          <w:sz w:val="24"/>
          <w:u w:color="000000"/>
          <w:lang w:eastAsia="en-US"/>
        </w:rPr>
        <w:t>ам Российской Федерации (далее –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индексы по субъектам Российской Федерации) (по итогам 9 месяцев) (процентов).</w:t>
      </w:r>
    </w:p>
    <w:p w:rsidR="000559F1" w:rsidRPr="00E31BF1" w:rsidRDefault="000559F1" w:rsidP="00A3123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2.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bPr>
          <m:e>
            <m:r>
              <w:rPr>
                <w:rFonts w:ascii="Cambria Math" w:hAnsi="Cambria Math"/>
                <w:sz w:val="24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2"/>
              </w:rPr>
              <m:t>g</m:t>
            </m:r>
          </m:sub>
        </m:sSub>
      </m:oMath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– понижающий (повышающий) коэффициент на соответствующий год долгосрочного периода, определяемый с учетом прогноза социально-экономического развития Российской Федерации.</w:t>
      </w:r>
    </w:p>
    <w:p w:rsidR="000559F1" w:rsidRPr="00E31BF1" w:rsidRDefault="000559F1" w:rsidP="00A3123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3. </w:t>
      </w:r>
      <m:oMath>
        <m:r>
          <w:rPr>
            <w:rFonts w:ascii="Cambria Math" w:hAnsi="Cambria Math"/>
            <w:sz w:val="24"/>
            <w:szCs w:val="22"/>
          </w:rPr>
          <m:t>L</m:t>
        </m:r>
      </m:oMath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– показатель изменения, определяемый единовременно в первый год долгосрочного периода с учетом региональных особенностей субъектов Российской Федерации, структуры полезного отпуска коммунальных ресурсов, необходимости возмещения экономически 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lastRenderedPageBreak/>
        <w:t>обоснованных расходов регулируемым организациям в порядке, установленном законодательством Российской Федерации, мер дополнительной социальной поддержки граждан,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(максимальных) индексов изменения размера вносимой гражданами платы за коммунальные услуги в муниципальных образованиях.</w:t>
      </w:r>
    </w:p>
    <w:p w:rsidR="000559F1" w:rsidRPr="00E31BF1" w:rsidRDefault="000559F1" w:rsidP="00A3123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4. </w:t>
      </w:r>
      <m:oMath>
        <m:r>
          <w:rPr>
            <w:rFonts w:ascii="Cambria Math" w:hAnsi="Cambria Math"/>
            <w:sz w:val="24"/>
            <w:szCs w:val="22"/>
          </w:rPr>
          <m:t>∆</m:t>
        </m:r>
      </m:oMath>
      <w:r w:rsidR="00A31233">
        <w:rPr>
          <w:rFonts w:ascii="Times New Roman" w:eastAsia="Arial Unicode MS" w:hAnsi="Times New Roman"/>
          <w:sz w:val="24"/>
          <w:u w:color="000000"/>
          <w:lang w:eastAsia="en-US"/>
        </w:rPr>
        <w:t xml:space="preserve">  – величина превышения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Федерации.</w:t>
      </w:r>
    </w:p>
    <w:p w:rsidR="000559F1" w:rsidRPr="00E31BF1" w:rsidRDefault="00A31233" w:rsidP="00A3123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>
        <w:rPr>
          <w:rFonts w:ascii="Times New Roman" w:eastAsia="Arial Unicode MS" w:hAnsi="Times New Roman"/>
          <w:sz w:val="24"/>
          <w:u w:color="000000"/>
          <w:lang w:eastAsia="en-US"/>
        </w:rPr>
        <w:t>5</w:t>
      </w:r>
      <w:r w:rsidR="000559F1"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.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bSupPr>
          <m:e>
            <m:r>
              <w:rPr>
                <w:rFonts w:ascii="Cambria Math" w:hAnsi="Cambria Math"/>
                <w:sz w:val="24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2"/>
              </w:rPr>
              <m:t>тэр</m:t>
            </m:r>
          </m:sub>
          <m:sup>
            <m:r>
              <w:rPr>
                <w:rFonts w:ascii="Cambria Math" w:hAnsi="Cambria Math"/>
                <w:sz w:val="24"/>
                <w:szCs w:val="22"/>
              </w:rPr>
              <m:t>суб</m:t>
            </m:r>
          </m:sup>
        </m:sSubSup>
      </m:oMath>
      <w:r w:rsidR="000559F1" w:rsidRPr="00E31BF1">
        <w:rPr>
          <w:rFonts w:ascii="Times New Roman" w:hAnsi="Times New Roman"/>
          <w:sz w:val="24"/>
          <w:szCs w:val="22"/>
        </w:rPr>
        <w:t>  –</w:t>
      </w:r>
      <w:r w:rsidR="000559F1"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коэффициент, учитывающий изменение стоимости энергоресурсов, используемых при производстве и (или) предоставлении коммунальных услуг в году, предшествующем периоду, на который рассчитываются индексы по субъектам Российской Федерации.</w:t>
      </w:r>
    </w:p>
    <w:p w:rsidR="000559F1" w:rsidRDefault="000559F1" w:rsidP="00A31233">
      <w:pPr>
        <w:spacing w:after="0" w:line="240" w:lineRule="auto"/>
        <w:rPr>
          <w:rFonts w:ascii="Times New Roman" w:hAnsi="Times New Roman"/>
          <w:sz w:val="28"/>
        </w:rPr>
      </w:pPr>
    </w:p>
    <w:p w:rsidR="000559F1" w:rsidRDefault="000559F1">
      <w:pPr>
        <w:rPr>
          <w:rFonts w:ascii="Times New Roman" w:hAnsi="Times New Roman"/>
          <w:sz w:val="28"/>
        </w:rPr>
        <w:sectPr w:rsidR="000559F1" w:rsidSect="00E95CE2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D767F" w:rsidTr="00CD767F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E95CE2">
              <w:rPr>
                <w:rFonts w:ascii="Times New Roman" w:hAnsi="Times New Roman"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CD767F" w:rsidTr="00CD767F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CD767F" w:rsidTr="00CD767F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D767F" w:rsidRDefault="00CD767F" w:rsidP="00CD767F">
      <w:pPr>
        <w:rPr>
          <w:rFonts w:ascii="Times New Roman" w:hAnsi="Times New Roman"/>
          <w:sz w:val="24"/>
        </w:r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37EAF" w:rsidTr="00337EAF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337EA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3 к постановлению</w:t>
            </w:r>
          </w:p>
        </w:tc>
      </w:tr>
      <w:tr w:rsidR="00337EAF" w:rsidTr="00337EAF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EAF" w:rsidRDefault="00337EAF" w:rsidP="00A97BE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337EAF" w:rsidRPr="00337EAF" w:rsidTr="00337EAF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337EAF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37EAF">
              <w:rPr>
                <w:rFonts w:ascii="Times New Roman" w:hAnsi="Times New Roman"/>
                <w:color w:val="auto"/>
                <w:sz w:val="28"/>
              </w:rPr>
              <w:t>19.12.2023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37EAF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7EAF" w:rsidRPr="00337EAF" w:rsidRDefault="00337EAF" w:rsidP="00A97BE9">
            <w:pPr>
              <w:spacing w:after="60"/>
              <w:ind w:left="8079" w:hanging="8079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56</w:t>
            </w:r>
          </w:p>
        </w:tc>
      </w:tr>
    </w:tbl>
    <w:p w:rsidR="00337EAF" w:rsidRDefault="00337EAF" w:rsidP="00CD767F">
      <w:pPr>
        <w:rPr>
          <w:rFonts w:ascii="Times New Roman" w:hAnsi="Times New Roman"/>
          <w:sz w:val="24"/>
        </w:rPr>
      </w:pPr>
    </w:p>
    <w:p w:rsidR="00337EAF" w:rsidRDefault="00337EAF" w:rsidP="00CD767F">
      <w:pPr>
        <w:rPr>
          <w:rFonts w:ascii="Times New Roman" w:hAnsi="Times New Roman"/>
          <w:sz w:val="24"/>
        </w:rPr>
      </w:pPr>
    </w:p>
    <w:p w:rsidR="001D0D16" w:rsidRDefault="00E95CE2" w:rsidP="00CD767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Обоснование </w:t>
      </w:r>
      <w:r>
        <w:rPr>
          <w:rFonts w:ascii="Times New Roman" w:hAnsi="Times New Roman"/>
          <w:sz w:val="28"/>
        </w:rPr>
        <w:br/>
      </w:r>
      <w:r w:rsidR="00CD767F" w:rsidRPr="00CD767F">
        <w:rPr>
          <w:rFonts w:ascii="Times New Roman" w:hAnsi="Times New Roman"/>
          <w:sz w:val="28"/>
        </w:rPr>
        <w:t>величины установленных предельных (максимальн</w:t>
      </w:r>
      <w:r w:rsidR="00CD767F">
        <w:rPr>
          <w:rFonts w:ascii="Times New Roman" w:hAnsi="Times New Roman"/>
          <w:sz w:val="28"/>
        </w:rPr>
        <w:t xml:space="preserve">ых) индексов изменения размера </w:t>
      </w:r>
      <w:r w:rsidR="00CD767F" w:rsidRPr="00CD767F">
        <w:rPr>
          <w:rFonts w:ascii="Times New Roman" w:hAnsi="Times New Roman"/>
          <w:sz w:val="28"/>
        </w:rPr>
        <w:t xml:space="preserve">вносимой гражданами платы </w:t>
      </w:r>
      <w:r>
        <w:rPr>
          <w:rFonts w:ascii="Times New Roman" w:hAnsi="Times New Roman"/>
          <w:sz w:val="28"/>
        </w:rPr>
        <w:br/>
      </w:r>
      <w:r w:rsidR="00CD767F" w:rsidRPr="00CD767F">
        <w:rPr>
          <w:rFonts w:ascii="Times New Roman" w:hAnsi="Times New Roman"/>
          <w:sz w:val="28"/>
        </w:rPr>
        <w:t>за коммунальные услуги в муниципальных образованиях в Камчатском крае на 20</w:t>
      </w:r>
      <w:r w:rsidR="00CD767F">
        <w:rPr>
          <w:rFonts w:ascii="Times New Roman" w:hAnsi="Times New Roman"/>
          <w:sz w:val="28"/>
        </w:rPr>
        <w:t>2</w:t>
      </w:r>
      <w:r w:rsidR="00337EAF">
        <w:rPr>
          <w:rFonts w:ascii="Times New Roman" w:hAnsi="Times New Roman"/>
          <w:sz w:val="28"/>
        </w:rPr>
        <w:t>5</w:t>
      </w:r>
      <w:r w:rsidR="00CD767F" w:rsidRPr="00CD767F">
        <w:rPr>
          <w:rFonts w:ascii="Times New Roman" w:hAnsi="Times New Roman"/>
          <w:sz w:val="28"/>
        </w:rPr>
        <w:t xml:space="preserve"> год</w:t>
      </w:r>
    </w:p>
    <w:p w:rsidR="00CD767F" w:rsidRDefault="00CD767F" w:rsidP="00CD767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70"/>
        <w:gridCol w:w="10894"/>
      </w:tblGrid>
      <w:tr w:rsidR="00CD767F" w:rsidRPr="00A31233" w:rsidTr="005B3F08">
        <w:tc>
          <w:tcPr>
            <w:tcW w:w="239" w:type="pct"/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020" w:type="pct"/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Камчатском крае</w:t>
            </w:r>
          </w:p>
        </w:tc>
        <w:tc>
          <w:tcPr>
            <w:tcW w:w="3741" w:type="pct"/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Обоснование величины установленных предельных (максимальных) индексов изменения размера </w:t>
            </w:r>
          </w:p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вносимой гражданами платы за коммунальные услуги в муниципальных образованиях в Камчатском крае</w:t>
            </w:r>
          </w:p>
        </w:tc>
      </w:tr>
    </w:tbl>
    <w:p w:rsidR="005B3F08" w:rsidRPr="005B3F08" w:rsidRDefault="005B3F08" w:rsidP="005B3F08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55"/>
        <w:gridCol w:w="15"/>
        <w:gridCol w:w="10894"/>
      </w:tblGrid>
      <w:tr w:rsidR="005B3F08" w:rsidRPr="00A31233" w:rsidTr="005B3F08">
        <w:trPr>
          <w:tblHeader/>
        </w:trPr>
        <w:tc>
          <w:tcPr>
            <w:tcW w:w="239" w:type="pct"/>
            <w:shd w:val="clear" w:color="auto" w:fill="auto"/>
          </w:tcPr>
          <w:p w:rsidR="005B3F08" w:rsidRPr="00A31233" w:rsidRDefault="005B3F08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5B3F08" w:rsidRPr="00A31233" w:rsidRDefault="005B3F08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41" w:type="pct"/>
            <w:shd w:val="clear" w:color="auto" w:fill="auto"/>
          </w:tcPr>
          <w:p w:rsidR="005B3F08" w:rsidRPr="00A31233" w:rsidRDefault="005B3F08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D767F" w:rsidRPr="00A31233" w:rsidTr="00213B90">
        <w:trPr>
          <w:trHeight w:val="556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Петропавловск-Камчатский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городской округ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1 января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% 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электроэнергию, отопление).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10,5 тыс. человек (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населения, проживающего в од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но, 2-х этажных жилых домах). Доля населения, изменение размера платы за коммунальные услуги в отношении которого равно установленному предельному (максимальному)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индексу, в общей численности населения на территории муниципального образования 5,8% и в общей численности населения Камчатского края 3,3%.</w:t>
            </w:r>
          </w:p>
        </w:tc>
      </w:tr>
      <w:tr w:rsidR="00CD767F" w:rsidRPr="00A31233" w:rsidTr="005B3F08">
        <w:trPr>
          <w:trHeight w:val="2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16006F" w:rsidP="00CD76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Елизовский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CD767F" w:rsidRPr="00A31233" w:rsidTr="005B3F08">
        <w:trPr>
          <w:trHeight w:val="270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Елизовское городское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B7" w:rsidRPr="00A31233" w:rsidRDefault="00B100B7" w:rsidP="00B100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1 января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% и в связи с поэтапным доведением уровня оплаты коммунальных услуг до 100% от установленных экономически обоснованных тарифов (льготные тарифы на электроэнергию, отопление).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8,7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22,2% и в общей численности населения Камчатского края 2,8%.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Корякское сельское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</w:tc>
        <w:tc>
          <w:tcPr>
            <w:tcW w:w="374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00B7" w:rsidRPr="00A31233" w:rsidRDefault="00B100B7" w:rsidP="00B100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1 января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% и в связи с поэтапным доведением уровня оплаты коммунальных услуг до 100% от установленных экономически обоснованных тарифов (льготные тарифы на электроэнергию, отопление).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0,1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2,7% и в общей численности населения Камчатского края 0,03%.</w:t>
            </w:r>
          </w:p>
        </w:tc>
      </w:tr>
      <w:tr w:rsidR="00CD767F" w:rsidRPr="00A31233" w:rsidTr="005B3F08">
        <w:trPr>
          <w:trHeight w:val="273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Начикинское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0B7" w:rsidRPr="00A31233" w:rsidRDefault="00B100B7" w:rsidP="00B100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1 января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 декабрю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% и в связи с поэтапным доведением уровня оплаты коммунальных услуг до 100% от установленных экономически обоснованных тарифов (льготные тарифы на электроэнергию, отопление).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79,1% и в общей численности населения Камчатского края 0,3%.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Николаевское сельское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B7" w:rsidRDefault="00B100B7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1 января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% и в связи с поэтапным доведением уровня оплаты коммунальных услуг до 100% от установленных экономически обоснованных тарифов (льготные тарифы на электроэнергию, отопление).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1,4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50,6% и в общей численности населения Камчатского края 0,4%.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16006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Новоавачинское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B100B7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1 января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% и в связи с поэтапным доведением уровня оплаты коммунальных услуг до 100% от установленных экономически обоснованных тарифов (льготные тарифы на электроэнергию, отопление).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2,0 тыс. человек. Доля населения, изменение размера платы за коммунальные услуги в отношении которого равно установленному предельному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(максимальному) индексу, в общей численности населения на территории муниципального образования 51,6% и в общей численности населения Камчатского края 0,6%.</w:t>
            </w:r>
          </w:p>
        </w:tc>
      </w:tr>
      <w:tr w:rsidR="00CD767F" w:rsidRPr="00A31233" w:rsidTr="005B3F08">
        <w:trPr>
          <w:trHeight w:val="2772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2.6.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16006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Новолесновское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1,6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96,8% и в общей численности населения Камчатского края 0,5%.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16006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Паратунское сельское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3,0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83,2% и в общей численности населения Камчатского края 1,0%.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Пионерское сельское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bookmarkStart w:id="2" w:name="_GoBack"/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bookmarkEnd w:id="2"/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 установленных экономически обоснованных тарифов (льготные тарифы на отопление, электроэнергию, водоотведение).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33,5% и в общей численности населения Камчатского края 0,4%.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2.9.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Раздольненское сельское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2,0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72,1% и в общей численности населения Камчатского края 0,6%.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7F" w:rsidRPr="00A31233" w:rsidRDefault="00733C10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Вулканное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374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водоотведение).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66,3% и в общей численности населения Камчатского края 0,3%.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761" w:type="pct"/>
            <w:gridSpan w:val="3"/>
            <w:shd w:val="clear" w:color="auto" w:fill="auto"/>
          </w:tcPr>
          <w:p w:rsidR="00CD767F" w:rsidRPr="00A31233" w:rsidRDefault="00E95CE2" w:rsidP="00CD76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Мильковский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Атласовское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bottom w:val="nil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88,7% и в общей численности населения Камчатского края 0,3%.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Мильковское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воду, водоотведение).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7,0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82,8% и в общей численности населения Камчатского края 2,2%.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Вилючинский городской округ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от установленных экономически обоснованных тарифов (льготные тарифы на отопление,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0,9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4,1% и в общей численности населения Камчатского края 0,3%.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7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Усть-Большерецкий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Озерновское городское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электроэнергию, питьевую воду).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1,5 тыс. человек (для населения, проживающего в жилых домах с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электроотоплением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электроподогревом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воды).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97,0% и в общей численности населения Камчатского края 0,5%.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Октябрьское городское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1,5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94,3% и в общей численности населения Камчатского края 0,5%.</w:t>
            </w:r>
          </w:p>
        </w:tc>
      </w:tr>
      <w:tr w:rsidR="00CD767F" w:rsidRPr="00A31233" w:rsidTr="005B3F08">
        <w:trPr>
          <w:trHeight w:val="1411"/>
        </w:trPr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5.3.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Апачинское сельское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воду, водоотведение).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0,9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92,3% и в общей численности населения Камчатского края 0,3%.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Запорожское сельское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B10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B100B7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0,5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93,6% и в общей численности населения Камчатского края 0,2%.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Кавалерское сельское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 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0,8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99,3% и в общей численности населения Камчатского края 0,3%.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5.6.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Усть-Большерецкое сельское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1,8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98,9% и в общей численности населения Камчатского края 0,6%.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Соболевский муниципальный район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Крутогоровское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81,1%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Соболевское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газоснабжение.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населения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1,6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97,0% и в общей численности населения Камчатского края 0,5%.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6.3.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Устьевое сельское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79,6%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761" w:type="pct"/>
            <w:gridSpan w:val="3"/>
            <w:shd w:val="clear" w:color="auto" w:fill="auto"/>
          </w:tcPr>
          <w:p w:rsidR="00CD767F" w:rsidRPr="00A31233" w:rsidRDefault="00733C10" w:rsidP="00CD76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Усть-Камчатский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Усть-Камчатское сельское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0,8 тыс. человек. Доля населения, изменение размера платы за коммунальные услуги в отношении которого равно установленному предельному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(максимальному) индексу, в общей численности населения на территории муниципального образования 20,1% и в общей численности населения Камчатского края 0,3%.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7.2.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Ключевское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4,0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87,0% и в общей численности населения Камчатского края 1,3%.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Козыревское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 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90,7% и в общей численности населения Камчатского края 0,3%.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76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767F" w:rsidRPr="00A31233" w:rsidRDefault="00CD767F" w:rsidP="00E95C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Быстринский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Эссовское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от установленных экономически обоснованных тарифов (льготные тарифы на отопление, электроэнергию, питьевую воду, водоотведение).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0,8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41,9% и в общей численности населения Камчатского края 0,3%.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8.2.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Анавгайское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50,1%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7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733C10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Алеутский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Никольское сельское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 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0,7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97,5% и в общей численности населения Камчатского края 0,2%.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7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733C10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Пенжинский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«село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Аянка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91,6%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Каменское»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0,5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88,3% и в общей численности населения Камчатского края 0,2%.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Манилы»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0,7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97,0% и в общей численности населения Камчатского края 0,2%.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10.4.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«село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Слаутное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0,2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87,0%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10.5.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Таловка»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января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0,2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92,2%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76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767F" w:rsidRPr="00A31233" w:rsidRDefault="00733C10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Карагинский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CD767F" w:rsidRPr="00A31233" w:rsidTr="005B3F08">
        <w:trPr>
          <w:trHeight w:val="20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«поселок Оссора»</w:t>
            </w:r>
          </w:p>
        </w:tc>
        <w:tc>
          <w:tcPr>
            <w:tcW w:w="3746" w:type="pct"/>
            <w:gridSpan w:val="2"/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коммунальные услуги для населения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 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воду, водоотведение).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1,8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90,3% и в общей численности населения Камчатского края 0,6%.</w:t>
            </w:r>
          </w:p>
        </w:tc>
      </w:tr>
      <w:tr w:rsidR="00CD767F" w:rsidRPr="00A31233" w:rsidTr="005B3F08">
        <w:trPr>
          <w:trHeight w:val="20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11.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Ивашка»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 января 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834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834A3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0,03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91,7% и в общей численности населения Камчатского края 0,2%.</w:t>
            </w:r>
          </w:p>
        </w:tc>
      </w:tr>
      <w:tr w:rsidR="00CD767F" w:rsidRPr="00A31233" w:rsidTr="008F1BA2">
        <w:trPr>
          <w:trHeight w:val="556"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E95CE2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Ильпырский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прогнозный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электроэнергию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0,1 тыс. человек. Доля населения, изменение размера платы за коммунальные услуги в отношении которого равно установленному предельному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(максимальному) индексу, в общей численности населения на территории муниципального образования 84,9% и в общей численности населения Камчатского края 0,03%.</w:t>
            </w:r>
          </w:p>
        </w:tc>
      </w:tr>
      <w:tr w:rsidR="00CD767F" w:rsidRPr="00A31233" w:rsidTr="005B3F08">
        <w:trPr>
          <w:trHeight w:val="2796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11.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«село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Карага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прогнозный рост тарифов на коммунальные услуги для населения с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января 2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0,2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78,4%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Межселенные территории, входящие в состав территории Карагинского муниципального района, кроме территорий городского и сельских поселений, включая территорию упраздненного сельского поселения село Кострома</w:t>
            </w:r>
          </w:p>
        </w:tc>
        <w:tc>
          <w:tcPr>
            <w:tcW w:w="37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прогнозный рост тарифов на коммунальные услуги для населения 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733C10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A31233" w:rsidRDefault="00CD767F" w:rsidP="00A312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0,07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100,0% и в общей численности населения Камчатского края 0,02%.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11.6.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«село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Тымлат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 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с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учетом изменения нормативов потребления коммунальных услуг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0,6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93,2% и в общей численности населения Камчатского края 0,2%.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476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767F" w:rsidRPr="00A31233" w:rsidRDefault="00B90BD4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Олюторский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12.1.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Апука»</w:t>
            </w:r>
          </w:p>
        </w:tc>
        <w:tc>
          <w:tcPr>
            <w:tcW w:w="37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 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0,2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85,5% и в общей численности населения Камчатского края 0,06%.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12.2.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«село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Ачайваям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с учетом изменения нормативов потребления коммунальных услуг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0,4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89,5%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12.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«село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Вывенка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0,4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89,7%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Средние Пахачи»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88,8%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126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Тиличики»</w:t>
            </w:r>
          </w:p>
        </w:tc>
        <w:tc>
          <w:tcPr>
            <w:tcW w:w="37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 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1,1 тыс. человек. Доля населения, изменение размера платы за коммунальные услуги в отношении которого равно установленному предельному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(максимальному) индексу, в общей численности населения на территории муниципального образования 84,0% и в общей численности населения Камчатского края 0,4%.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12.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Пахачи»</w:t>
            </w:r>
          </w:p>
        </w:tc>
        <w:tc>
          <w:tcPr>
            <w:tcW w:w="3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воду, водоотведение).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0,6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92,0% и в общей численности населения Камчатского края 0,2%.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12.7.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«село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Хаилино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83,3%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«поселок Палана»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7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обоснованных тарифов (льготные тарифы на отопление, электроэнергию, питьевую воду, водоотведение).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2,5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85,6% и в общей численности населения Камчатского края 0,8%.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76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B90BD4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Тигильский </w:t>
            </w:r>
            <w:r w:rsidR="00CD767F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«село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Воямполка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7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0,1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88,0% и в общей численности населения Камчатского края 0,03%.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14.2.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Сельское поселение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«село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Ковран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7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0,2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87,3%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14.3.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Лесная»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0,4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90,0%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14.4.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Седанка»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0,4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87,2% и в общей численности населения Камчатского края 0,1%.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14.5.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Тигиль»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воду, водоотведение).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1,2 тыс. человек. Доля населения, изменение размера платы за коммунальные услуги в отношении которого равно установленному предельному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(максимальному) индексу, в общей численности населения на территории муниципального образования 82,8% и в общей численности населения Камчатского края 0,4%.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14.6.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«село Усть-Хайрюзово»</w:t>
            </w:r>
          </w:p>
        </w:tc>
        <w:tc>
          <w:tcPr>
            <w:tcW w:w="3741" w:type="pct"/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января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 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0,7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90,0% и в общей численности населения Камчатского края 0,2%.</w:t>
            </w:r>
          </w:p>
        </w:tc>
      </w:tr>
      <w:tr w:rsidR="00CD767F" w:rsidRPr="00A31233" w:rsidTr="005B3F08">
        <w:trPr>
          <w:trHeight w:val="34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14.7.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  <w:p w:rsidR="00CD767F" w:rsidRPr="00A31233" w:rsidRDefault="00CD767F" w:rsidP="00A312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«село </w:t>
            </w:r>
            <w:proofErr w:type="spellStart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Хайрюзово</w:t>
            </w:r>
            <w:proofErr w:type="spellEnd"/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 коммунальных услуг: электроснабжение.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</w:t>
            </w:r>
            <w:r w:rsidR="00B90BD4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к декабрю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0%, с 1 июля 202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  <w:r w:rsidR="001A3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декабрю 2024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в среднем составит не выше 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11,9</w:t>
            </w:r>
            <w:r w:rsidR="00FA7983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="00FA7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 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связи с поэтапным доведением уровня оплаты коммунальных услуг до </w:t>
            </w:r>
            <w:r w:rsidR="00E95CE2"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установленных экономически обоснованных тарифов (льготные тарифы на электроэнергию). </w:t>
            </w:r>
          </w:p>
          <w:p w:rsidR="00CD767F" w:rsidRPr="00A31233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0,1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88,2% и в общей численности населения Камчатского края 0,04%.</w:t>
            </w:r>
          </w:p>
        </w:tc>
      </w:tr>
    </w:tbl>
    <w:p w:rsidR="00CD767F" w:rsidRPr="00A31233" w:rsidRDefault="00CD767F" w:rsidP="00CD7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006F" w:rsidRPr="00A31233" w:rsidRDefault="0016006F" w:rsidP="00CD7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6006F" w:rsidRPr="00A31233" w:rsidSect="00A31233">
      <w:pgSz w:w="16838" w:h="11906" w:orient="landscape"/>
      <w:pgMar w:top="1418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E9" w:rsidRDefault="00A97BE9" w:rsidP="00E95CE2">
      <w:pPr>
        <w:spacing w:after="0" w:line="240" w:lineRule="auto"/>
      </w:pPr>
      <w:r>
        <w:separator/>
      </w:r>
    </w:p>
  </w:endnote>
  <w:endnote w:type="continuationSeparator" w:id="0">
    <w:p w:rsidR="00A97BE9" w:rsidRDefault="00A97BE9" w:rsidP="00E9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E9" w:rsidRDefault="00A97BE9" w:rsidP="00E95CE2">
      <w:pPr>
        <w:spacing w:after="0" w:line="240" w:lineRule="auto"/>
      </w:pPr>
      <w:r>
        <w:separator/>
      </w:r>
    </w:p>
  </w:footnote>
  <w:footnote w:type="continuationSeparator" w:id="0">
    <w:p w:rsidR="00A97BE9" w:rsidRDefault="00A97BE9" w:rsidP="00E9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204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97BE9" w:rsidRPr="00E95CE2" w:rsidRDefault="00A97BE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95CE2">
          <w:rPr>
            <w:rFonts w:ascii="Times New Roman" w:hAnsi="Times New Roman"/>
            <w:sz w:val="28"/>
            <w:szCs w:val="28"/>
          </w:rPr>
          <w:fldChar w:fldCharType="begin"/>
        </w:r>
        <w:r w:rsidRPr="00E95CE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95CE2">
          <w:rPr>
            <w:rFonts w:ascii="Times New Roman" w:hAnsi="Times New Roman"/>
            <w:sz w:val="28"/>
            <w:szCs w:val="28"/>
          </w:rPr>
          <w:fldChar w:fldCharType="separate"/>
        </w:r>
        <w:r w:rsidR="001A328E">
          <w:rPr>
            <w:rFonts w:ascii="Times New Roman" w:hAnsi="Times New Roman"/>
            <w:noProof/>
            <w:sz w:val="28"/>
            <w:szCs w:val="28"/>
          </w:rPr>
          <w:t>30</w:t>
        </w:r>
        <w:r w:rsidRPr="00E95C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97BE9" w:rsidRDefault="00A97B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C26"/>
    <w:multiLevelType w:val="hybridMultilevel"/>
    <w:tmpl w:val="33128848"/>
    <w:lvl w:ilvl="0" w:tplc="7688E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52FCB"/>
    <w:multiLevelType w:val="hybridMultilevel"/>
    <w:tmpl w:val="80523DE8"/>
    <w:lvl w:ilvl="0" w:tplc="60AAC7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552F6"/>
    <w:multiLevelType w:val="hybridMultilevel"/>
    <w:tmpl w:val="F0440A16"/>
    <w:lvl w:ilvl="0" w:tplc="4448E6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22C96"/>
    <w:multiLevelType w:val="hybridMultilevel"/>
    <w:tmpl w:val="ACF8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B3ABD"/>
    <w:multiLevelType w:val="hybridMultilevel"/>
    <w:tmpl w:val="959E602E"/>
    <w:lvl w:ilvl="0" w:tplc="33CC6460">
      <w:start w:val="1"/>
      <w:numFmt w:val="russianLower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4803331"/>
    <w:multiLevelType w:val="hybridMultilevel"/>
    <w:tmpl w:val="064AB26C"/>
    <w:lvl w:ilvl="0" w:tplc="BF34E2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05577F"/>
    <w:multiLevelType w:val="hybridMultilevel"/>
    <w:tmpl w:val="5290DA80"/>
    <w:lvl w:ilvl="0" w:tplc="0E4234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0535F"/>
    <w:rsid w:val="000559F1"/>
    <w:rsid w:val="00125DB9"/>
    <w:rsid w:val="0016006F"/>
    <w:rsid w:val="001608B0"/>
    <w:rsid w:val="001A328E"/>
    <w:rsid w:val="001D0D16"/>
    <w:rsid w:val="00213B90"/>
    <w:rsid w:val="00337EAF"/>
    <w:rsid w:val="00405498"/>
    <w:rsid w:val="00570179"/>
    <w:rsid w:val="005B3F08"/>
    <w:rsid w:val="0069754C"/>
    <w:rsid w:val="006D4456"/>
    <w:rsid w:val="007325ED"/>
    <w:rsid w:val="00733C10"/>
    <w:rsid w:val="00754EF5"/>
    <w:rsid w:val="007F1FA6"/>
    <w:rsid w:val="00834A33"/>
    <w:rsid w:val="008E0240"/>
    <w:rsid w:val="008F1BA2"/>
    <w:rsid w:val="00943CFC"/>
    <w:rsid w:val="00A31233"/>
    <w:rsid w:val="00A97BE9"/>
    <w:rsid w:val="00B100B7"/>
    <w:rsid w:val="00B845F1"/>
    <w:rsid w:val="00B90BD4"/>
    <w:rsid w:val="00BF59E3"/>
    <w:rsid w:val="00CD767F"/>
    <w:rsid w:val="00E31BF1"/>
    <w:rsid w:val="00E95CE2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AF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1"/>
    <w:link w:val="a3"/>
    <w:uiPriority w:val="99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1"/>
    <w:link w:val="aa"/>
    <w:uiPriority w:val="99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1D0D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styleId="af1">
    <w:name w:val="page number"/>
    <w:basedOn w:val="a0"/>
    <w:rsid w:val="001D0D16"/>
  </w:style>
  <w:style w:type="paragraph" w:customStyle="1" w:styleId="ConsPlusNonformat">
    <w:name w:val="ConsPlusNonformat"/>
    <w:uiPriority w:val="99"/>
    <w:rsid w:val="001D0D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Cell">
    <w:name w:val="ConsPlusCell"/>
    <w:rsid w:val="001D0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paragraph" w:styleId="af2">
    <w:name w:val="List Paragraph"/>
    <w:basedOn w:val="a"/>
    <w:uiPriority w:val="34"/>
    <w:qFormat/>
    <w:rsid w:val="001D0D16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1D0D16"/>
  </w:style>
  <w:style w:type="paragraph" w:customStyle="1" w:styleId="ConsPlusTitle">
    <w:name w:val="ConsPlusTitle"/>
    <w:rsid w:val="001D0D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af3">
    <w:name w:val="Таблицы (моноширинный)"/>
    <w:basedOn w:val="a"/>
    <w:next w:val="a"/>
    <w:rsid w:val="001D0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0"/>
    </w:rPr>
  </w:style>
  <w:style w:type="paragraph" w:styleId="af4">
    <w:name w:val="Body Text"/>
    <w:basedOn w:val="a"/>
    <w:link w:val="af5"/>
    <w:rsid w:val="001D0D16"/>
    <w:pPr>
      <w:spacing w:after="0" w:line="240" w:lineRule="auto"/>
      <w:jc w:val="center"/>
    </w:pPr>
    <w:rPr>
      <w:rFonts w:ascii="Times New Roman" w:hAnsi="Times New Roman"/>
      <w:color w:val="auto"/>
      <w:sz w:val="28"/>
      <w:szCs w:val="24"/>
    </w:rPr>
  </w:style>
  <w:style w:type="character" w:customStyle="1" w:styleId="af5">
    <w:name w:val="Основной текст Знак"/>
    <w:basedOn w:val="a0"/>
    <w:link w:val="af4"/>
    <w:rsid w:val="001D0D16"/>
    <w:rPr>
      <w:rFonts w:ascii="Times New Roman" w:hAnsi="Times New Roman"/>
      <w:color w:val="auto"/>
      <w:sz w:val="28"/>
      <w:szCs w:val="24"/>
    </w:rPr>
  </w:style>
  <w:style w:type="paragraph" w:customStyle="1" w:styleId="ConsNormal">
    <w:name w:val="ConsNormal"/>
    <w:rsid w:val="001D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styleId="af6">
    <w:name w:val="annotation reference"/>
    <w:uiPriority w:val="99"/>
    <w:unhideWhenUsed/>
    <w:rsid w:val="001D0D16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1D0D16"/>
    <w:pPr>
      <w:spacing w:after="200" w:line="240" w:lineRule="auto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1D0D16"/>
    <w:rPr>
      <w:rFonts w:ascii="Calibri" w:eastAsia="Calibri" w:hAnsi="Calibri"/>
      <w:color w:val="auto"/>
      <w:sz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1D0D1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1D0D16"/>
    <w:rPr>
      <w:rFonts w:ascii="Calibri" w:eastAsia="Calibri" w:hAnsi="Calibri"/>
      <w:b/>
      <w:bCs/>
      <w:color w:val="auto"/>
      <w:sz w:val="20"/>
      <w:lang w:eastAsia="en-US"/>
    </w:rPr>
  </w:style>
  <w:style w:type="paragraph" w:styleId="afb">
    <w:name w:val="No Spacing"/>
    <w:uiPriority w:val="1"/>
    <w:qFormat/>
    <w:rsid w:val="001D0D16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8">
    <w:name w:val="Знак1"/>
    <w:basedOn w:val="a"/>
    <w:rsid w:val="001D0D1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character" w:styleId="afc">
    <w:name w:val="FollowedHyperlink"/>
    <w:basedOn w:val="a0"/>
    <w:uiPriority w:val="99"/>
    <w:semiHidden/>
    <w:unhideWhenUsed/>
    <w:rsid w:val="0000535F"/>
    <w:rPr>
      <w:color w:val="954F72"/>
      <w:u w:val="single"/>
    </w:rPr>
  </w:style>
  <w:style w:type="paragraph" w:customStyle="1" w:styleId="msonormal0">
    <w:name w:val="msonormal"/>
    <w:basedOn w:val="a"/>
    <w:rsid w:val="0000535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00535F"/>
    <w:pPr>
      <w:spacing w:before="100" w:beforeAutospacing="1" w:after="100" w:afterAutospacing="1" w:line="240" w:lineRule="auto"/>
    </w:pPr>
    <w:rPr>
      <w:rFonts w:ascii="Times New Roman" w:hAnsi="Times New Roman"/>
      <w:szCs w:val="22"/>
    </w:rPr>
  </w:style>
  <w:style w:type="paragraph" w:customStyle="1" w:styleId="font6">
    <w:name w:val="font6"/>
    <w:basedOn w:val="a"/>
    <w:rsid w:val="0000535F"/>
    <w:pPr>
      <w:spacing w:before="100" w:beforeAutospacing="1" w:after="100" w:afterAutospacing="1" w:line="240" w:lineRule="auto"/>
    </w:pPr>
    <w:rPr>
      <w:rFonts w:ascii="Times New Roman" w:hAnsi="Times New Roman"/>
      <w:szCs w:val="22"/>
    </w:rPr>
  </w:style>
  <w:style w:type="paragraph" w:customStyle="1" w:styleId="font7">
    <w:name w:val="font7"/>
    <w:basedOn w:val="a"/>
    <w:rsid w:val="0000535F"/>
    <w:pPr>
      <w:spacing w:before="100" w:beforeAutospacing="1" w:after="100" w:afterAutospacing="1" w:line="240" w:lineRule="auto"/>
    </w:pPr>
    <w:rPr>
      <w:rFonts w:ascii="Times New Roman" w:hAnsi="Times New Roman"/>
      <w:szCs w:val="22"/>
    </w:rPr>
  </w:style>
  <w:style w:type="paragraph" w:customStyle="1" w:styleId="xl63">
    <w:name w:val="xl63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4">
    <w:name w:val="xl64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character" w:styleId="afd">
    <w:name w:val="Placeholder Text"/>
    <w:basedOn w:val="a0"/>
    <w:uiPriority w:val="99"/>
    <w:semiHidden/>
    <w:rsid w:val="00570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35</Pages>
  <Words>12040</Words>
  <Characters>68634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Альбина Андреевна</dc:creator>
  <cp:lastModifiedBy>Сысса Ольга Александровна</cp:lastModifiedBy>
  <cp:revision>5</cp:revision>
  <cp:lastPrinted>2024-11-24T23:07:00Z</cp:lastPrinted>
  <dcterms:created xsi:type="dcterms:W3CDTF">2024-11-24T21:24:00Z</dcterms:created>
  <dcterms:modified xsi:type="dcterms:W3CDTF">2024-11-24T23:59:00Z</dcterms:modified>
</cp:coreProperties>
</file>