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46" w:rsidRDefault="00532146" w:rsidP="00532146">
      <w:pPr>
        <w:pStyle w:val="22"/>
        <w:spacing w:line="226" w:lineRule="auto"/>
        <w:ind w:left="0"/>
        <w:jc w:val="center"/>
      </w:pPr>
      <w:r>
        <w:rPr>
          <w:color w:val="000000"/>
          <w:sz w:val="24"/>
          <w:szCs w:val="24"/>
          <w:lang w:eastAsia="ru-RU" w:bidi="ru-RU"/>
        </w:rPr>
        <w:t>Сведения, позволяющие идентифицировать территориальную сетевую организацию,</w:t>
      </w:r>
      <w:r>
        <w:rPr>
          <w:color w:val="000000"/>
          <w:sz w:val="24"/>
          <w:szCs w:val="24"/>
          <w:lang w:eastAsia="ru-RU" w:bidi="ru-RU"/>
        </w:rPr>
        <w:br/>
        <w:t>соответствующую критериям СТСО</w:t>
      </w:r>
      <w:r w:rsidR="0031192A">
        <w:rPr>
          <w:color w:val="000000"/>
          <w:sz w:val="24"/>
          <w:szCs w:val="24"/>
          <w:lang w:eastAsia="ru-RU" w:bidi="ru-RU"/>
        </w:rPr>
        <w:t>, на 2025-2029 годы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5002"/>
      </w:tblGrid>
      <w:tr w:rsidR="00532146" w:rsidTr="004B652D">
        <w:trPr>
          <w:trHeight w:hRule="exact" w:val="53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</w:tr>
      <w:tr w:rsidR="00532146" w:rsidTr="004B652D">
        <w:trPr>
          <w:trHeight w:hRule="exact" w:val="53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«Камчатскэнерго»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532146">
              <w:rPr>
                <w:sz w:val="24"/>
              </w:rPr>
              <w:t>1024101024078</w:t>
            </w:r>
          </w:p>
        </w:tc>
      </w:tr>
    </w:tbl>
    <w:p w:rsidR="00532146" w:rsidRDefault="00532146" w:rsidP="00532146">
      <w:pPr>
        <w:spacing w:after="279" w:line="1" w:lineRule="exact"/>
      </w:pPr>
    </w:p>
    <w:p w:rsidR="00532146" w:rsidRDefault="00532146" w:rsidP="00532146">
      <w:pPr>
        <w:pStyle w:val="22"/>
        <w:spacing w:line="230" w:lineRule="auto"/>
        <w:ind w:left="0"/>
        <w:jc w:val="center"/>
      </w:pPr>
      <w:r>
        <w:rPr>
          <w:color w:val="000000"/>
          <w:sz w:val="24"/>
          <w:szCs w:val="24"/>
          <w:lang w:eastAsia="ru-RU" w:bidi="ru-RU"/>
        </w:rPr>
        <w:t>Сведения, на основании которых был сделан вывод о соответствии ТСО каждому из</w:t>
      </w:r>
      <w:r>
        <w:rPr>
          <w:color w:val="000000"/>
          <w:sz w:val="24"/>
          <w:szCs w:val="24"/>
          <w:lang w:eastAsia="ru-RU" w:bidi="ru-RU"/>
        </w:rPr>
        <w:br/>
        <w:t>критериев СТСО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5059"/>
        <w:gridCol w:w="1502"/>
        <w:gridCol w:w="2477"/>
      </w:tblGrid>
      <w:tr w:rsidR="00532146" w:rsidTr="004B652D">
        <w:trPr>
          <w:trHeight w:hRule="exact" w:val="37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Размерность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532146" w:rsidRPr="00D46AA8" w:rsidTr="004B652D">
        <w:trPr>
          <w:trHeight w:hRule="exact" w:val="21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Pr="00D46AA8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Соответствие территориальной сетевой организации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Российской Федерации от 28 февраля 2015 г. № 184, на очередной расчетный период регулирования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6D0676">
            <w:pPr>
              <w:pStyle w:val="a4"/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Соответствует </w:t>
            </w:r>
            <w:r w:rsidRPr="00D46AA8">
              <w:rPr>
                <w:color w:val="000000"/>
                <w:sz w:val="20"/>
                <w:szCs w:val="20"/>
                <w:lang w:eastAsia="ru-RU" w:bidi="ru-RU"/>
              </w:rPr>
              <w:t xml:space="preserve">предложения </w:t>
            </w:r>
            <w:r w:rsidR="006D0676" w:rsidRPr="00D46AA8">
              <w:rPr>
                <w:color w:val="000000"/>
                <w:sz w:val="20"/>
                <w:szCs w:val="20"/>
                <w:lang w:eastAsia="ru-RU" w:bidi="ru-RU"/>
              </w:rPr>
              <w:t>ПАО «Камчатскэнерго»</w:t>
            </w:r>
            <w:r w:rsidRPr="00D46AA8">
              <w:rPr>
                <w:color w:val="000000"/>
                <w:sz w:val="20"/>
                <w:szCs w:val="20"/>
                <w:lang w:eastAsia="ru-RU" w:bidi="ru-RU"/>
              </w:rPr>
              <w:t xml:space="preserve"> от 2</w:t>
            </w:r>
            <w:r w:rsidR="006D0676" w:rsidRPr="00D46AA8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D46AA8">
              <w:rPr>
                <w:color w:val="000000"/>
                <w:sz w:val="20"/>
                <w:szCs w:val="20"/>
                <w:lang w:eastAsia="ru-RU" w:bidi="ru-RU"/>
              </w:rPr>
              <w:t>.04.2024 №</w:t>
            </w:r>
            <w:r w:rsidR="006D0676" w:rsidRPr="00D46AA8">
              <w:rPr>
                <w:color w:val="000000"/>
                <w:sz w:val="20"/>
                <w:szCs w:val="20"/>
                <w:lang w:eastAsia="ru-RU" w:bidi="ru-RU"/>
              </w:rPr>
              <w:t>02/2762</w:t>
            </w:r>
          </w:p>
        </w:tc>
      </w:tr>
      <w:tr w:rsidR="00532146" w:rsidRPr="00D46AA8" w:rsidTr="004B652D">
        <w:trPr>
          <w:trHeight w:hRule="exact" w:val="31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Pr="00D46AA8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Владение на праве собственности и (или)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(автотрансформаторами), расположенными и используемыми для осуществления регулируемой деятельности в административных границах субъекта Российской Федерации, сумма номинальных мощностей которых составляет не менее 150 МВА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МВА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Pr="00D46AA8" w:rsidRDefault="006D0676" w:rsidP="006D0676">
            <w:pPr>
              <w:pStyle w:val="a5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D46AA8">
              <w:rPr>
                <w:sz w:val="20"/>
                <w:szCs w:val="20"/>
              </w:rPr>
              <w:t>Пункт не применяе</w:t>
            </w:r>
            <w:r w:rsidR="00532146" w:rsidRPr="00D46AA8">
              <w:rPr>
                <w:sz w:val="20"/>
                <w:szCs w:val="20"/>
              </w:rPr>
              <w:t xml:space="preserve">тся к владельцам объектов электросетевого хозяйства, осуществляющим передачу электрической энергии в технологически изолированных территориальных электроэнергетических </w:t>
            </w:r>
            <w:r w:rsidRPr="00D46AA8">
              <w:rPr>
                <w:sz w:val="20"/>
                <w:szCs w:val="20"/>
              </w:rPr>
              <w:t>системах, к которым относится Камчатский край</w:t>
            </w:r>
          </w:p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2146" w:rsidRPr="00D46AA8" w:rsidTr="004B652D">
        <w:trPr>
          <w:trHeight w:hRule="exact" w:val="37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146" w:rsidRPr="00D46AA8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 xml:space="preserve">Владение на праве собственности и (или) на ином законном основании на срок не менее долгосрочного периода регулирования линиями электропередачи (воздушными и (или) кабельными), расположенными и используемыми для осуществления регулируемой деятельности в административных границах субъекта Российской Федерации, непосредственно соединенными с трансформаторными и иными подстанциями, указанными в пункте 1 настоящих критериев, не менее 2 проектных номинальных классов напряжения: 110 </w:t>
            </w:r>
            <w:proofErr w:type="spellStart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 xml:space="preserve"> и выше, 35 </w:t>
            </w:r>
            <w:proofErr w:type="spellStart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 xml:space="preserve">, 1 - 20 </w:t>
            </w:r>
            <w:proofErr w:type="spellStart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 xml:space="preserve">, ниже 1 </w:t>
            </w:r>
            <w:proofErr w:type="spellStart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D46AA8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км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76" w:rsidRPr="00D46AA8" w:rsidRDefault="006D0676" w:rsidP="006D0676">
            <w:pPr>
              <w:pStyle w:val="a5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D46AA8">
              <w:rPr>
                <w:sz w:val="20"/>
                <w:szCs w:val="20"/>
              </w:rPr>
              <w:t>Пункт не применяется к владельцам объектов электросетевого хозяйства, осуществляющим передачу электрической энергии в технологически изолированных территориальных электроэнергетических системах, к которым относится Камчатский край</w:t>
            </w:r>
          </w:p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32146" w:rsidRPr="00D46AA8" w:rsidRDefault="00532146" w:rsidP="00532146">
      <w:pPr>
        <w:spacing w:line="1" w:lineRule="exact"/>
        <w:sectPr w:rsidR="00532146" w:rsidRPr="00D46AA8">
          <w:headerReference w:type="default" r:id="rId6"/>
          <w:pgSz w:w="12240" w:h="15840"/>
          <w:pgMar w:top="670" w:right="949" w:bottom="521" w:left="1148" w:header="242" w:footer="9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064"/>
        <w:gridCol w:w="1498"/>
        <w:gridCol w:w="2477"/>
      </w:tblGrid>
      <w:tr w:rsidR="00532146" w:rsidRPr="00D46AA8" w:rsidTr="004B652D">
        <w:trPr>
          <w:trHeight w:hRule="exact" w:val="38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Размерность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532146" w:rsidRPr="00D46AA8" w:rsidTr="004B652D">
        <w:trPr>
          <w:trHeight w:hRule="exact" w:val="79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Pr="00D46AA8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Pr="00D46AA8" w:rsidRDefault="00532146" w:rsidP="004B652D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трехфазных участков линий электропередачи, сумма протяженностей которых по трассе составляет не менее 300 км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Pr="00D46AA8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146" w:rsidRPr="00D46AA8" w:rsidRDefault="00532146" w:rsidP="004B652D">
            <w:pPr>
              <w:rPr>
                <w:sz w:val="10"/>
                <w:szCs w:val="10"/>
              </w:rPr>
            </w:pPr>
          </w:p>
        </w:tc>
      </w:tr>
      <w:tr w:rsidR="00532146" w:rsidRPr="00D46AA8" w:rsidTr="004B652D">
        <w:trPr>
          <w:trHeight w:hRule="exact" w:val="551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Pr="00D46AA8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Отсутствие за 3 предшествующих расчетных периода регулирования 3 фактов применения органами исполнительной власти субъектов Российской Федерации в области государственного регулирования тарифов понижающих коэффициентов, позволяющих обеспечить соответствие уровня тарифов, установленных для владельца объектов электросетевого хозяйства, уровню надежности и качества поставляемых товаров и оказываемых услуг, а также корректировки цен (тарифов), установленных на долгосрочный период регулирования, в случае представления владельцем объектов электросетевого хозяйства, для которого такие цены (тарифы) установлены, недостоверных отчетных данных, используемых при расчете фактических значений показателей надежности и качества поставляемых товаров и оказываемых услуг, или непредставления таких данных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532146" w:rsidRPr="00D46AA8" w:rsidTr="004B652D">
        <w:trPr>
          <w:trHeight w:hRule="exact" w:val="106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Pr="00D46AA8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Наличие выделенного абонентского номера для обращений потребителей услуг по передаче электрической энергии и (или) технологическому присоединению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sz w:val="24"/>
                <w:szCs w:val="24"/>
                <w:lang w:eastAsia="ru-RU"/>
              </w:rPr>
              <w:t>8 (800) 234-29-39</w:t>
            </w:r>
          </w:p>
        </w:tc>
      </w:tr>
      <w:tr w:rsidR="00532146" w:rsidRPr="00D46AA8" w:rsidTr="00532146">
        <w:trPr>
          <w:trHeight w:hRule="exact" w:val="8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Наличие официального сайта в информационно-телекоммуникационной сети «Интернет»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sz w:val="24"/>
                <w:szCs w:val="24"/>
                <w:lang w:val="en-US" w:eastAsia="ru-RU"/>
              </w:rPr>
              <w:t>http://kamenergo.ru</w:t>
            </w:r>
          </w:p>
        </w:tc>
      </w:tr>
      <w:tr w:rsidR="00532146" w:rsidTr="004B652D">
        <w:trPr>
          <w:trHeight w:hRule="exact" w:val="3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146" w:rsidRPr="00D46AA8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Отсутствие во владении и (или) пользовании объектов электросетевого хозяйства, расположенных в административных границах субъекта Российской Федерации и используемых для осуществления регулируемой деятельности в указанных границах, принадлежащих на праве собственности или ином законном основании иному лицу, владеющему объектом по производству электрической энергии (мощности), который расположен в административных границах соответствующего субъекта Российской Федерации и с использованием которого осуществляется производство электрической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6AA8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76" w:rsidRPr="00D46AA8" w:rsidRDefault="006D0676" w:rsidP="006D0676">
            <w:pPr>
              <w:pStyle w:val="a5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D46AA8">
              <w:rPr>
                <w:sz w:val="20"/>
                <w:szCs w:val="20"/>
              </w:rPr>
              <w:t>Пункт не применяется к владельцам объектов электросетевого хозяйства, осуществляющим передачу электрической энергии в технологически изолированных территориальных электроэнергетических системах, к которым относится Камчатский край</w:t>
            </w:r>
          </w:p>
          <w:p w:rsidR="00532146" w:rsidRPr="00D46AA8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32146" w:rsidRDefault="00532146" w:rsidP="005321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5064"/>
        <w:gridCol w:w="1498"/>
        <w:gridCol w:w="2482"/>
      </w:tblGrid>
      <w:tr w:rsidR="00532146" w:rsidTr="004B652D">
        <w:trPr>
          <w:trHeight w:hRule="exact" w:val="38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Размерность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532146" w:rsidTr="004B652D">
        <w:trPr>
          <w:trHeight w:hRule="exact" w:val="11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энергии и мощности с целью ее продажи на оптовом рынке электрической энергии (мощности) и (или) розничных рынках электрической энергии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</w:tr>
      <w:tr w:rsidR="00532146" w:rsidTr="004B652D">
        <w:trPr>
          <w:trHeight w:hRule="exact" w:val="81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Владение территориальной сетевой организацией на праве собственности и (или) на ином законном основании в году, в котором определяется системообразующая территориальная сетевая организация, а также в течение срока не менее 5 лет подряд, предшествующих указанному году, и на срок не менее 5 лет, с начала года, следующего за годом в котором определяется системообразующая территориальная сетевая организация,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линиями электропередачи (воздушными и (или) кабельными) проектным классом напряжения 110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выше, сумма протяженностей которых по трассе является наибольшей из сумм протяженностей по трассе линий электропередачи (воздушных и (или) кабельных) проектным классом напряжения 110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выше, которые принадлежат на праве собственности или ином законном основании любой из территориальных сетевых организаций,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814,09 км</w:t>
            </w:r>
          </w:p>
        </w:tc>
      </w:tr>
      <w:tr w:rsidR="00532146" w:rsidTr="00532146">
        <w:trPr>
          <w:trHeight w:hRule="exact" w:val="98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отношении территориальной сетевой организации не введена какая-либо из процедур, применяемых в деле о банкротстве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532146">
            <w:pPr>
              <w:pStyle w:val="a4"/>
              <w:spacing w:line="223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Соответствует </w:t>
            </w:r>
          </w:p>
          <w:p w:rsidR="006D0676" w:rsidRDefault="00532146" w:rsidP="00532146">
            <w:pPr>
              <w:pStyle w:val="a4"/>
              <w:spacing w:line="223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Письмо </w:t>
            </w:r>
            <w:r w:rsidR="006D0676">
              <w:rPr>
                <w:color w:val="000000"/>
                <w:sz w:val="20"/>
                <w:szCs w:val="20"/>
                <w:lang w:eastAsia="ru-RU" w:bidi="ru-RU"/>
              </w:rPr>
              <w:t>ПАО 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«Камчатскэнерго»</w:t>
            </w:r>
          </w:p>
          <w:p w:rsidR="00532146" w:rsidRDefault="00532146" w:rsidP="00532146">
            <w:pPr>
              <w:pStyle w:val="a4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 26.08.2024 №02-02/5558</w:t>
            </w:r>
          </w:p>
        </w:tc>
      </w:tr>
      <w:tr w:rsidR="00532146" w:rsidTr="00532146">
        <w:trPr>
          <w:trHeight w:hRule="exact" w:val="136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едином государственном реестре юридических лиц отсутствуют сведения о нахождении территориальной сетевой организации в процессе ликвидации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line="223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Соответствует </w:t>
            </w:r>
          </w:p>
          <w:p w:rsidR="006D0676" w:rsidRDefault="00532146" w:rsidP="006D0676">
            <w:pPr>
              <w:pStyle w:val="a4"/>
              <w:spacing w:line="223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Письмо ПАО</w:t>
            </w:r>
            <w:r w:rsidR="006D0676">
              <w:rPr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«Камчатскэнерго»</w:t>
            </w:r>
          </w:p>
          <w:p w:rsidR="00532146" w:rsidRDefault="00532146" w:rsidP="006D0676">
            <w:pPr>
              <w:pStyle w:val="a4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 26.08.2024 №02-02/5558</w:t>
            </w:r>
          </w:p>
        </w:tc>
      </w:tr>
      <w:tr w:rsidR="00532146" w:rsidTr="004B652D">
        <w:trPr>
          <w:trHeight w:hRule="exact" w:val="16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Период оборота просроченной кредиторской задолженности системообразующей территориальной сетевой организации за услуги по передаче электрической энергии, оказанные территориальными сетевыми организациями в административных границах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line="223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Соответствует </w:t>
            </w:r>
          </w:p>
          <w:p w:rsidR="006D0676" w:rsidRDefault="00532146" w:rsidP="004B652D">
            <w:pPr>
              <w:pStyle w:val="a4"/>
              <w:spacing w:line="223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Письмо </w:t>
            </w:r>
            <w:r w:rsidR="006D0676">
              <w:rPr>
                <w:color w:val="000000"/>
                <w:sz w:val="20"/>
                <w:szCs w:val="20"/>
                <w:lang w:eastAsia="ru-RU" w:bidi="ru-RU"/>
              </w:rPr>
              <w:t>ПАО 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«Камчатскэнерго» </w:t>
            </w:r>
          </w:p>
          <w:p w:rsidR="00532146" w:rsidRDefault="00532146" w:rsidP="004B652D">
            <w:pPr>
              <w:pStyle w:val="a4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от 26.08.2024 №02-02/5558</w:t>
            </w:r>
          </w:p>
        </w:tc>
      </w:tr>
    </w:tbl>
    <w:p w:rsidR="00532146" w:rsidRDefault="00532146" w:rsidP="00532146">
      <w:pPr>
        <w:spacing w:line="1" w:lineRule="exact"/>
        <w:sectPr w:rsidR="00532146">
          <w:headerReference w:type="default" r:id="rId7"/>
          <w:pgSz w:w="12240" w:h="15840"/>
          <w:pgMar w:top="670" w:right="949" w:bottom="521" w:left="1148" w:header="0" w:footer="9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5054"/>
        <w:gridCol w:w="1498"/>
        <w:gridCol w:w="2510"/>
      </w:tblGrid>
      <w:tr w:rsidR="00532146" w:rsidTr="004B652D">
        <w:trPr>
          <w:trHeight w:hRule="exact" w:val="40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Размерность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532146" w:rsidTr="004B652D">
        <w:trPr>
          <w:trHeight w:hRule="exact" w:val="28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субъекта Российской Федерации.</w:t>
            </w:r>
          </w:p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превышает период оборота просроченной дебиторской задолженности системообразующей территориальной сетевой организации за услуги по передаче электрической энергии, оказанные потребителям электрической энергии или лицам, действующим в их интересах в административных границах субъекта Российской Федерации по состоянию на конец календарного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</w:tr>
      <w:tr w:rsidR="00532146" w:rsidTr="004B652D">
        <w:trPr>
          <w:trHeight w:hRule="exact" w:val="21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Показатель периода оборота просроченной кредиторской задолженности системообразующей территориальной сетевой организации за услуги по передаче электрической энергии, оказанные территориальными сетевыми организациями в административных границах субъекта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left="11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532146" w:rsidTr="004B652D">
        <w:trPr>
          <w:trHeight w:hRule="exact" w:val="23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5.1.1.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просроченная кредиторская задолженность системообразующей территориальной сетевой организации за услуги по передаче электрической энергии, оказанные системообразующей территориальной сетевой организации территориальными сетевыми организациями в административных границах субъекта Российской Федерации, на конец отчетного периода (2023 год)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тыс. рублей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532146" w:rsidTr="004B652D">
        <w:trPr>
          <w:trHeight w:hRule="exact" w:val="185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5.1.2.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стоимость услуг по передаче электрической энергии (начисления с НДС), оказанных системообразующей территориальной сетевой организации территориальными сетевыми организациями в административных границах субъекта Российской Федерации, в отчетном периоде (2023 год)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тыс. рублей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1 122 300</w:t>
            </w:r>
          </w:p>
        </w:tc>
      </w:tr>
      <w:tr w:rsidR="00532146" w:rsidTr="00532146">
        <w:trPr>
          <w:trHeight w:hRule="exact" w:val="53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5.1.3.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дней в отчетном периоде (2023 год)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365</w:t>
            </w:r>
          </w:p>
        </w:tc>
      </w:tr>
      <w:tr w:rsidR="00532146" w:rsidTr="004B652D">
        <w:trPr>
          <w:trHeight w:hRule="exact" w:val="23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Показатель периода оборота просроченной дебиторской задолженности системообразующей территориальной сетевой организации за услуги по передаче электрической энергии, оказанные потребителям электрической энергии или лицам, действующим в их интересах, в административных границах субъекта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</w:tr>
      <w:tr w:rsidR="00532146" w:rsidTr="004B652D">
        <w:trPr>
          <w:trHeight w:hRule="exact" w:val="134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5.2.1.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просроченная дебиторская задолженность системообразующей территориальной сетевой организации за услуги по передаче электрической энергии, оказанные потребителям электрической энергии или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тыс. рублей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1 760 500</w:t>
            </w:r>
          </w:p>
        </w:tc>
      </w:tr>
    </w:tbl>
    <w:p w:rsidR="00532146" w:rsidRDefault="00532146" w:rsidP="005321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059"/>
        <w:gridCol w:w="1502"/>
        <w:gridCol w:w="2496"/>
      </w:tblGrid>
      <w:tr w:rsidR="00532146" w:rsidTr="004B652D">
        <w:trPr>
          <w:trHeight w:hRule="exact" w:val="38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Размерность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532146" w:rsidTr="004B652D">
        <w:trPr>
          <w:trHeight w:hRule="exact" w:val="13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лицам, действующим в их интересах, системообразующей территориальной сетевой организацией в административных границах субъекта Российской Федерации, на конец отчетного периода (2023 год)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146" w:rsidRDefault="00532146" w:rsidP="004B652D">
            <w:pPr>
              <w:rPr>
                <w:sz w:val="10"/>
                <w:szCs w:val="10"/>
              </w:rPr>
            </w:pPr>
          </w:p>
        </w:tc>
      </w:tr>
      <w:tr w:rsidR="00532146" w:rsidTr="004B652D">
        <w:trPr>
          <w:trHeight w:hRule="exact" w:val="20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5.2.2.'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стоимость услуг по передаче электрической энергии (начисления с НДС), оказанных потребителям электрической энергии или лицам, действующим в их интересах, системообразующей территориальной сетевой организацией в административных границах субъекта Российской Федерации, в отчетном периоде (2023 год)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тыс. рублей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12 163 000</w:t>
            </w:r>
          </w:p>
        </w:tc>
      </w:tr>
      <w:tr w:rsidR="00532146" w:rsidTr="00532146">
        <w:trPr>
          <w:trHeight w:hRule="exact" w:val="5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5.2.3.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дней в отчетном периоде (2023 год)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365</w:t>
            </w:r>
          </w:p>
        </w:tc>
      </w:tr>
      <w:tr w:rsidR="00532146" w:rsidTr="004B652D">
        <w:trPr>
          <w:trHeight w:hRule="exact" w:val="39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Отсутствуют факты установления в соответствии с 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электроэнергетики, утвержденными постановлением Правительства Российской Федерации от 10 мая 2017 г. № 543, уровня готовности системообразующей территориальной сетевой организации к работе в отопительный сезон «Не готов» на дату ежегодного принятия Министерством энергетики Российской Федерации решения о готовности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spacing w:after="2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</w:t>
            </w:r>
          </w:p>
          <w:p w:rsidR="00532146" w:rsidRDefault="00532146" w:rsidP="004B652D">
            <w:pPr>
              <w:pStyle w:val="a4"/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Оценка соответствия данному критерию производится не ранее чем по истечении 5 лет с даты начала осуществления деятельности в качестве системообразующей территориальной сетевой организации и далее не чаще чем один раз в 5 лет</w:t>
            </w:r>
          </w:p>
        </w:tc>
      </w:tr>
      <w:tr w:rsidR="00532146" w:rsidTr="004B652D">
        <w:trPr>
          <w:trHeight w:hRule="exact" w:val="475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2146" w:rsidRDefault="00532146" w:rsidP="004B652D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Пункт 5 статьи 26 Федерального закона от 26.03.2003 № 35-ФЗ «Об электроэнергетике» (ред. от 08.08.2024):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организаций, находящихся под контролем иностранного инвестора (иностранного лица, группы лиц) в соответствии с признаками, предусмотренными частями 1-2.1 статьи 5 Федерального закона от 29 апреля 2008 года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46" w:rsidRDefault="00532146" w:rsidP="004B652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</w:t>
            </w:r>
          </w:p>
        </w:tc>
      </w:tr>
    </w:tbl>
    <w:p w:rsidR="00532146" w:rsidRDefault="00532146" w:rsidP="00532146"/>
    <w:p w:rsidR="000E58E0" w:rsidRDefault="0031192A"/>
    <w:sectPr w:rsidR="000E58E0">
      <w:headerReference w:type="default" r:id="rId8"/>
      <w:pgSz w:w="12240" w:h="15840"/>
      <w:pgMar w:top="670" w:right="949" w:bottom="521" w:left="1148" w:header="0" w:footer="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60" w:rsidRDefault="002E526D">
      <w:r>
        <w:separator/>
      </w:r>
    </w:p>
  </w:endnote>
  <w:endnote w:type="continuationSeparator" w:id="0">
    <w:p w:rsidR="00A03B60" w:rsidRDefault="002E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60" w:rsidRDefault="002E526D">
      <w:r>
        <w:separator/>
      </w:r>
    </w:p>
  </w:footnote>
  <w:footnote w:type="continuationSeparator" w:id="0">
    <w:p w:rsidR="00A03B60" w:rsidRDefault="002E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9B" w:rsidRDefault="003119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9B" w:rsidRDefault="006D06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48716E" wp14:editId="353472D6">
              <wp:simplePos x="0" y="0"/>
              <wp:positionH relativeFrom="page">
                <wp:posOffset>3879215</wp:posOffset>
              </wp:positionH>
              <wp:positionV relativeFrom="page">
                <wp:posOffset>264160</wp:posOffset>
              </wp:positionV>
              <wp:extent cx="54610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D9B" w:rsidRDefault="006D067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192A" w:rsidRPr="0031192A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8716E"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305.45pt;margin-top:20.8pt;width:4.3pt;height:7.4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" filled="f" stroked="f">
              <v:textbox style="mso-fit-shape-to-text:t" inset="0,0,0,0">
                <w:txbxContent>
                  <w:p w:rsidR="008B3D9B" w:rsidRDefault="006D067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192A" w:rsidRPr="0031192A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9B" w:rsidRDefault="006D06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3BE6C4" wp14:editId="0210DF53">
              <wp:simplePos x="0" y="0"/>
              <wp:positionH relativeFrom="page">
                <wp:posOffset>3857625</wp:posOffset>
              </wp:positionH>
              <wp:positionV relativeFrom="page">
                <wp:posOffset>267335</wp:posOffset>
              </wp:positionV>
              <wp:extent cx="57785" cy="914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D9B" w:rsidRDefault="006D067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192A" w:rsidRPr="0031192A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BE6C4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303.75pt;margin-top:21.05pt;width:4.55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" filled="f" stroked="f">
              <v:textbox style="mso-fit-shape-to-text:t" inset="0,0,0,0">
                <w:txbxContent>
                  <w:p w:rsidR="008B3D9B" w:rsidRDefault="006D067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192A" w:rsidRPr="0031192A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46"/>
    <w:rsid w:val="00035411"/>
    <w:rsid w:val="00122DBB"/>
    <w:rsid w:val="002E526D"/>
    <w:rsid w:val="0031192A"/>
    <w:rsid w:val="00382B23"/>
    <w:rsid w:val="00532146"/>
    <w:rsid w:val="005C241B"/>
    <w:rsid w:val="00680830"/>
    <w:rsid w:val="006D0676"/>
    <w:rsid w:val="00A03B60"/>
    <w:rsid w:val="00D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EB55"/>
  <w15:chartTrackingRefBased/>
  <w15:docId w15:val="{C34A2889-EF2C-456F-B6F1-B4C257C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214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32146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532146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532146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53214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53214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32146"/>
    <w:pPr>
      <w:spacing w:after="280" w:line="228" w:lineRule="auto"/>
      <w:ind w:left="506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rmal (Web)"/>
    <w:basedOn w:val="a"/>
    <w:uiPriority w:val="99"/>
    <w:semiHidden/>
    <w:unhideWhenUsed/>
    <w:rsid w:val="005321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 Галина Александровна</dc:creator>
  <cp:keywords/>
  <dc:description/>
  <cp:lastModifiedBy>Цымбал Галина Александровна</cp:lastModifiedBy>
  <cp:revision>4</cp:revision>
  <dcterms:created xsi:type="dcterms:W3CDTF">2024-09-02T09:44:00Z</dcterms:created>
  <dcterms:modified xsi:type="dcterms:W3CDTF">2024-09-02T21:43:00Z</dcterms:modified>
</cp:coreProperties>
</file>