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3E" w:rsidRDefault="00A204A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03E" w:rsidRDefault="0084103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4103E" w:rsidRDefault="0084103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4103E" w:rsidRDefault="0084103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84103E" w:rsidRDefault="00A204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84103E" w:rsidRDefault="0084103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4103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4103E" w:rsidRDefault="008410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4103E" w:rsidRDefault="0084103E" w:rsidP="00AA63B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84103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84103E" w:rsidRDefault="00A204A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Об установлении платы за подключение (технологическое присоединение) к системе теплоснабжения АО «Камчатэнергосервис» объектов заявителей на территории Камчатского края при наличии технической</w:t>
            </w:r>
            <w:r w:rsidR="00AA63BF">
              <w:rPr>
                <w:rFonts w:ascii="Times New Roman" w:hAnsi="Times New Roman"/>
                <w:b/>
                <w:sz w:val="28"/>
              </w:rPr>
              <w:t xml:space="preserve"> возможности подключения на 2024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A6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76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>«О теплоснабжении», постановлениями Правительства Российской Федерации от 22.10.2012 № 1075 «О ценообразовании в сфере</w:t>
      </w:r>
      <w:r>
        <w:rPr>
          <w:rFonts w:ascii="Times New Roman" w:hAnsi="Times New Roman"/>
          <w:sz w:val="28"/>
          <w:szCs w:val="28"/>
        </w:rPr>
        <w:t xml:space="preserve"> теплоснабжения», от </w:t>
      </w:r>
      <w:r w:rsidRPr="00337161">
        <w:rPr>
          <w:rFonts w:ascii="Times New Roman" w:hAnsi="Times New Roman"/>
          <w:sz w:val="28"/>
          <w:szCs w:val="28"/>
        </w:rPr>
        <w:t>30.11.2021</w:t>
      </w:r>
      <w:r>
        <w:rPr>
          <w:rFonts w:ascii="Times New Roman" w:hAnsi="Times New Roman"/>
          <w:sz w:val="28"/>
          <w:szCs w:val="28"/>
        </w:rPr>
        <w:t xml:space="preserve"> № 2115 «</w:t>
      </w:r>
      <w:r w:rsidRPr="00337161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1D763E">
        <w:rPr>
          <w:rFonts w:ascii="Times New Roman" w:hAnsi="Times New Roman"/>
          <w:sz w:val="28"/>
          <w:szCs w:val="28"/>
        </w:rPr>
        <w:t xml:space="preserve">, приказами Федеральной службы по тарифам от 13.06.2013 № 760-э «Об утверждении Методических указаний по расчету регулируемых цен (тарифов) в сфере </w:t>
      </w:r>
      <w:r>
        <w:rPr>
          <w:rFonts w:ascii="Times New Roman" w:hAnsi="Times New Roman"/>
          <w:sz w:val="28"/>
          <w:szCs w:val="28"/>
        </w:rPr>
        <w:t xml:space="preserve">теплоснабжения», от 07.06.2013 </w:t>
      </w:r>
      <w:r w:rsidRPr="001D763E">
        <w:rPr>
          <w:rFonts w:ascii="Times New Roman" w:hAnsi="Times New Roman"/>
          <w:sz w:val="28"/>
          <w:szCs w:val="28"/>
        </w:rPr>
        <w:t xml:space="preserve">№ 163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 xml:space="preserve">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1D763E">
        <w:rPr>
          <w:rFonts w:ascii="Times New Roman" w:hAnsi="Times New Roman"/>
          <w:bCs/>
          <w:sz w:val="28"/>
          <w:szCs w:val="28"/>
        </w:rPr>
        <w:t>постановлением Прав</w:t>
      </w:r>
      <w:r>
        <w:rPr>
          <w:rFonts w:ascii="Times New Roman" w:hAnsi="Times New Roman"/>
          <w:bCs/>
          <w:sz w:val="28"/>
          <w:szCs w:val="28"/>
        </w:rPr>
        <w:t>ительства Камчатского края от 07.04.2023 № 204</w:t>
      </w:r>
      <w:r w:rsidRPr="001D763E">
        <w:rPr>
          <w:rFonts w:ascii="Times New Roman" w:hAnsi="Times New Roman"/>
          <w:bCs/>
          <w:sz w:val="28"/>
          <w:szCs w:val="28"/>
        </w:rPr>
        <w:t xml:space="preserve">-П </w:t>
      </w:r>
      <w:r>
        <w:rPr>
          <w:rFonts w:ascii="Times New Roman" w:hAnsi="Times New Roman"/>
          <w:bCs/>
          <w:sz w:val="28"/>
          <w:szCs w:val="28"/>
        </w:rPr>
        <w:br/>
      </w:r>
      <w:r w:rsidRPr="001D763E">
        <w:rPr>
          <w:rFonts w:ascii="Times New Roman" w:hAnsi="Times New Roman"/>
          <w:bCs/>
          <w:sz w:val="28"/>
          <w:szCs w:val="28"/>
        </w:rPr>
        <w:t xml:space="preserve">«Об утверждении Положения о Региональной службе по тарифам и ценам Камчатского края», </w:t>
      </w:r>
      <w:r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>
        <w:rPr>
          <w:rFonts w:ascii="Times New Roman" w:hAnsi="Times New Roman"/>
          <w:sz w:val="28"/>
          <w:szCs w:val="28"/>
        </w:rPr>
        <w:t>Камчатского края ХХ.04.2024</w:t>
      </w:r>
      <w:r w:rsidRPr="00220049">
        <w:rPr>
          <w:rFonts w:ascii="Times New Roman" w:hAnsi="Times New Roman"/>
          <w:sz w:val="28"/>
          <w:szCs w:val="28"/>
        </w:rPr>
        <w:t xml:space="preserve"> № ХХ, </w:t>
      </w:r>
      <w:r>
        <w:rPr>
          <w:rFonts w:ascii="Times New Roman" w:eastAsia="Calibri" w:hAnsi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Calibri" w:hAnsi="Times New Roman"/>
          <w:sz w:val="28"/>
          <w:szCs w:val="28"/>
        </w:rPr>
        <w:br/>
        <w:t>АО «Камчатэнергосервис» от 20.02.2024 № 07-383</w:t>
      </w:r>
    </w:p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20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4103E" w:rsidRPr="008B7E39" w:rsidRDefault="008B7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8B7E39">
        <w:rPr>
          <w:rFonts w:ascii="Times New Roman" w:hAnsi="Times New Roman"/>
          <w:sz w:val="28"/>
          <w:szCs w:val="28"/>
        </w:rPr>
        <w:t>Установить расходы на проведение мероприятий по подключению объектов заявителей (П1) в составе платы за подключение к системе теплоснабжения АО «Камчатэнергосервис» объектов заявителей на территории Камчатского края при наличии технической</w:t>
      </w:r>
      <w:r>
        <w:rPr>
          <w:rFonts w:ascii="Times New Roman" w:hAnsi="Times New Roman"/>
          <w:sz w:val="28"/>
          <w:szCs w:val="28"/>
        </w:rPr>
        <w:t xml:space="preserve"> возможности подключения на </w:t>
      </w:r>
      <w:r w:rsidR="008E0C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2024 год в размере </w:t>
      </w:r>
      <w:r w:rsidR="00716FF6">
        <w:rPr>
          <w:rFonts w:ascii="Times New Roman" w:hAnsi="Times New Roman"/>
          <w:sz w:val="28"/>
          <w:szCs w:val="28"/>
        </w:rPr>
        <w:t>203,319</w:t>
      </w:r>
      <w:r w:rsidRPr="008B7E39">
        <w:rPr>
          <w:rFonts w:ascii="Times New Roman" w:hAnsi="Times New Roman"/>
          <w:sz w:val="28"/>
          <w:szCs w:val="28"/>
        </w:rPr>
        <w:t xml:space="preserve"> тыс. руб./Гкал/ч (без учета НДС)</w:t>
      </w:r>
    </w:p>
    <w:p w:rsidR="0084103E" w:rsidRPr="004422D3" w:rsidRDefault="008B7E39" w:rsidP="008B7E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2. </w:t>
      </w:r>
      <w:r w:rsidR="00A204AE" w:rsidRPr="004422D3">
        <w:rPr>
          <w:rStyle w:val="1"/>
          <w:rFonts w:ascii="Times New Roman" w:hAnsi="Times New Roman"/>
          <w:sz w:val="28"/>
        </w:rPr>
        <w:t xml:space="preserve">Установить плату за подключение к системе теплоснабжения </w:t>
      </w:r>
      <w:r w:rsidR="00A204AE" w:rsidRPr="004422D3">
        <w:rPr>
          <w:rStyle w:val="1"/>
          <w:rFonts w:ascii="Times New Roman" w:hAnsi="Times New Roman"/>
          <w:sz w:val="28"/>
        </w:rPr>
        <w:br/>
        <w:t>АО «Камчатэнергосервис» объектов заявителей в Усть-Камчатском муниципальном районе Камчатского края при наличии технической</w:t>
      </w:r>
      <w:r w:rsidR="00AA63BF" w:rsidRPr="004422D3">
        <w:rPr>
          <w:rStyle w:val="1"/>
          <w:rFonts w:ascii="Times New Roman" w:hAnsi="Times New Roman"/>
          <w:sz w:val="28"/>
        </w:rPr>
        <w:t xml:space="preserve"> возможности подключения на 2024</w:t>
      </w:r>
      <w:r w:rsidR="00A204AE" w:rsidRPr="004422D3">
        <w:rPr>
          <w:rStyle w:val="1"/>
          <w:rFonts w:ascii="Times New Roman" w:hAnsi="Times New Roman"/>
          <w:sz w:val="28"/>
        </w:rPr>
        <w:t xml:space="preserve"> год, согласно приложению.</w:t>
      </w:r>
    </w:p>
    <w:p w:rsidR="0084103E" w:rsidRPr="008B7E39" w:rsidRDefault="00A204AE" w:rsidP="008B7E39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B7E39">
        <w:rPr>
          <w:rStyle w:val="1"/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84103E" w:rsidTr="00A204AE">
        <w:trPr>
          <w:trHeight w:val="1525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A63BF" w:rsidP="00A204AE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204AE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204A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0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0"/>
          </w:p>
          <w:p w:rsidR="0084103E" w:rsidRDefault="0084103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204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204AE">
      <w:r>
        <w:br w:type="page"/>
      </w:r>
    </w:p>
    <w:p w:rsid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</w:p>
    <w:p w:rsid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к </w:t>
      </w:r>
      <w:r w:rsidR="004422D3" w:rsidRPr="00D773AA">
        <w:rPr>
          <w:rFonts w:ascii="Times New Roman" w:hAnsi="Times New Roman"/>
          <w:sz w:val="28"/>
          <w:szCs w:val="24"/>
        </w:rPr>
        <w:t xml:space="preserve">постановлению </w:t>
      </w:r>
      <w:r w:rsidR="004422D3">
        <w:rPr>
          <w:rFonts w:ascii="Times New Roman" w:hAnsi="Times New Roman"/>
          <w:sz w:val="28"/>
          <w:szCs w:val="24"/>
        </w:rPr>
        <w:t>Региональной</w:t>
      </w:r>
      <w:r w:rsidRPr="00D773AA">
        <w:rPr>
          <w:rFonts w:ascii="Times New Roman" w:hAnsi="Times New Roman"/>
          <w:sz w:val="28"/>
          <w:szCs w:val="24"/>
        </w:rPr>
        <w:t xml:space="preserve"> службы по тарифам и ценам Камчатского края</w:t>
      </w:r>
      <w:r w:rsidR="004422D3">
        <w:rPr>
          <w:rFonts w:ascii="Times New Roman" w:hAnsi="Times New Roman"/>
          <w:sz w:val="28"/>
          <w:szCs w:val="24"/>
        </w:rPr>
        <w:t xml:space="preserve"> </w:t>
      </w:r>
    </w:p>
    <w:p w:rsidR="0084103E" w:rsidRP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ХХ</w:t>
      </w:r>
      <w:r w:rsidRPr="00D773AA">
        <w:rPr>
          <w:rFonts w:ascii="Times New Roman" w:hAnsi="Times New Roman"/>
          <w:sz w:val="28"/>
          <w:szCs w:val="24"/>
        </w:rPr>
        <w:t>.</w:t>
      </w:r>
      <w:r w:rsidR="004422D3">
        <w:rPr>
          <w:rFonts w:ascii="Times New Roman" w:hAnsi="Times New Roman"/>
          <w:sz w:val="28"/>
          <w:szCs w:val="24"/>
        </w:rPr>
        <w:t>04</w:t>
      </w:r>
      <w:r w:rsidRPr="00D773AA">
        <w:rPr>
          <w:rFonts w:ascii="Times New Roman" w:hAnsi="Times New Roman"/>
          <w:sz w:val="28"/>
          <w:szCs w:val="24"/>
        </w:rPr>
        <w:t>.202</w:t>
      </w:r>
      <w:r w:rsidR="004422D3">
        <w:rPr>
          <w:rFonts w:ascii="Times New Roman" w:hAnsi="Times New Roman"/>
          <w:sz w:val="28"/>
          <w:szCs w:val="24"/>
        </w:rPr>
        <w:t>4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ХХХ-Н</w:t>
      </w:r>
    </w:p>
    <w:p w:rsidR="00AA63BF" w:rsidRDefault="00AA63BF">
      <w:pPr>
        <w:widowControl w:val="0"/>
        <w:tabs>
          <w:tab w:val="left" w:pos="4019"/>
          <w:tab w:val="center" w:pos="481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103E" w:rsidRDefault="00A204AE">
      <w:pPr>
        <w:widowControl w:val="0"/>
        <w:tabs>
          <w:tab w:val="left" w:pos="4019"/>
          <w:tab w:val="center" w:pos="481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</w:t>
      </w:r>
    </w:p>
    <w:p w:rsidR="0084103E" w:rsidRDefault="00A204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подключение к системе теплоснабжения АО «Камчатэнергосервис» объектов заявителей </w:t>
      </w:r>
      <w:r w:rsidRPr="004422D3">
        <w:rPr>
          <w:rFonts w:ascii="Times New Roman" w:hAnsi="Times New Roman"/>
          <w:sz w:val="28"/>
        </w:rPr>
        <w:t>в Усть-Камчатском муниципальном районе</w:t>
      </w:r>
      <w:r>
        <w:rPr>
          <w:rFonts w:ascii="Times New Roman" w:hAnsi="Times New Roman"/>
          <w:sz w:val="28"/>
        </w:rPr>
        <w:t xml:space="preserve"> Камчатского края при наличии технической</w:t>
      </w:r>
      <w:r w:rsidR="00AA63BF">
        <w:rPr>
          <w:rFonts w:ascii="Times New Roman" w:hAnsi="Times New Roman"/>
          <w:sz w:val="28"/>
        </w:rPr>
        <w:t xml:space="preserve"> возможности подключения на 2024</w:t>
      </w:r>
      <w:r>
        <w:rPr>
          <w:rFonts w:ascii="Times New Roman" w:hAnsi="Times New Roman"/>
          <w:sz w:val="28"/>
        </w:rPr>
        <w:t xml:space="preserve"> год</w:t>
      </w:r>
    </w:p>
    <w:p w:rsidR="0084103E" w:rsidRDefault="0084103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103E" w:rsidRDefault="00A204AE">
      <w:pPr>
        <w:tabs>
          <w:tab w:val="left" w:pos="6379"/>
        </w:tabs>
        <w:spacing w:after="0" w:line="240" w:lineRule="auto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руб./Гкал/ч (без учета НДС)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68"/>
        <w:gridCol w:w="298"/>
        <w:gridCol w:w="6813"/>
        <w:gridCol w:w="1412"/>
      </w:tblGrid>
      <w:tr w:rsidR="0084103E">
        <w:trPr>
          <w:trHeight w:val="3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84103E">
        <w:trPr>
          <w:trHeight w:val="2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4103E">
        <w:trPr>
          <w:trHeight w:val="433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4"/>
              </w:rPr>
              <w:t>Составляющие платы за подключение объектов заявителей, в том числе:</w:t>
            </w:r>
          </w:p>
        </w:tc>
      </w:tr>
      <w:tr w:rsidR="0084103E">
        <w:trPr>
          <w:trHeight w:val="4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716F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203,319</w:t>
            </w:r>
          </w:p>
        </w:tc>
      </w:tr>
      <w:tr w:rsidR="0084103E">
        <w:trPr>
          <w:trHeight w:val="12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(П2.1), в том числе при наличии дифференциации: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7920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72 712,21</w:t>
            </w: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Надземная (наземная)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Подземная прокладка, 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канальная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Pr="008E0CCB" w:rsidRDefault="007920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73 712,21</w:t>
            </w:r>
            <w:bookmarkStart w:id="1" w:name="_GoBack"/>
            <w:bookmarkEnd w:id="1"/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бесканальная</w:t>
            </w:r>
            <w:proofErr w:type="spellEnd"/>
            <w:r>
              <w:rPr>
                <w:rFonts w:ascii="Times New Roman" w:hAnsi="Times New Roman"/>
              </w:rPr>
              <w:t xml:space="preserve">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50 - 250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8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B7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CCB">
              <w:rPr>
                <w:rFonts w:ascii="Times New Roman" w:hAnsi="Times New Roman"/>
              </w:rPr>
              <w:t>0,000</w:t>
            </w:r>
          </w:p>
        </w:tc>
      </w:tr>
      <w:tr w:rsidR="0084103E">
        <w:trPr>
          <w:trHeight w:val="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B7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CCB">
              <w:rPr>
                <w:rFonts w:ascii="Times New Roman" w:hAnsi="Times New Roman"/>
              </w:rPr>
              <w:t>0,000</w:t>
            </w:r>
          </w:p>
        </w:tc>
      </w:tr>
    </w:tbl>
    <w:p w:rsidR="0084103E" w:rsidRDefault="0084103E"/>
    <w:sectPr w:rsidR="0084103E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D25"/>
    <w:multiLevelType w:val="multilevel"/>
    <w:tmpl w:val="ECE21CE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36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36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360"/>
      </w:pPr>
    </w:lvl>
  </w:abstractNum>
  <w:abstractNum w:abstractNumId="1" w15:restartNumberingAfterBreak="0">
    <w:nsid w:val="571C17EC"/>
    <w:multiLevelType w:val="hybridMultilevel"/>
    <w:tmpl w:val="6B0C1A32"/>
    <w:lvl w:ilvl="0" w:tplc="5EEA902C">
      <w:start w:val="3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E"/>
    <w:rsid w:val="001B5DCC"/>
    <w:rsid w:val="004422D3"/>
    <w:rsid w:val="004E14C1"/>
    <w:rsid w:val="0060306A"/>
    <w:rsid w:val="00716FF6"/>
    <w:rsid w:val="00792008"/>
    <w:rsid w:val="0084103E"/>
    <w:rsid w:val="008B7E39"/>
    <w:rsid w:val="008E0CCB"/>
    <w:rsid w:val="00A204AE"/>
    <w:rsid w:val="00AA63BF"/>
    <w:rsid w:val="00C97A30"/>
    <w:rsid w:val="00F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CF0D"/>
  <w15:docId w15:val="{A1908787-412F-4B20-8822-9254558A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Plain Text"/>
    <w:basedOn w:val="a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17">
    <w:name w:val="Гиперссылка1"/>
    <w:basedOn w:val="12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3"/>
    <w:link w:val="17"/>
    <w:rPr>
      <w:color w:val="0563C1" w:themeColor="hyperlink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8B7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Динушева Елена Викторовна</cp:lastModifiedBy>
  <cp:revision>12</cp:revision>
  <dcterms:created xsi:type="dcterms:W3CDTF">2023-06-19T02:19:00Z</dcterms:created>
  <dcterms:modified xsi:type="dcterms:W3CDTF">2024-04-08T04:53:00Z</dcterms:modified>
</cp:coreProperties>
</file>