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79" w:rsidRP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4B79">
        <w:rPr>
          <w:b/>
          <w:sz w:val="28"/>
          <w:szCs w:val="28"/>
        </w:rPr>
        <w:t>МОНИТОРИНГ ДЕЯТЕЛЬНОСТИ СУБЪЕКТОВ ЕСТЕСТВЕННЫХ МОНОПОЛИЙ НА ТЕРРИТОРИИ КАМЧАТСКОГО КРАЯ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4B79" w:rsidRP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4B79">
        <w:rPr>
          <w:b/>
          <w:sz w:val="28"/>
          <w:szCs w:val="28"/>
        </w:rPr>
        <w:t>Рынок сферы топливо-энергетического комплекса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4B79">
        <w:rPr>
          <w:b/>
          <w:sz w:val="28"/>
          <w:szCs w:val="28"/>
        </w:rPr>
        <w:t>1. Перечень субъектов естественных монополий, осуществляющих деятельность на рынке сферы топливо-энергетического комплекса (электроэнергетика)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4B79" w:rsidRPr="00F57DED" w:rsidRDefault="002E4B79" w:rsidP="00B6578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F57DED">
        <w:rPr>
          <w:bCs/>
          <w:sz w:val="28"/>
          <w:szCs w:val="28"/>
        </w:rPr>
        <w:t xml:space="preserve">В перечень субъектов естественных монополий в сфере топливо-энергетического комплекса (услуги по передаче электрической энергии) осуществляющих деятельность на территории Камчатского края, по состоянию на </w:t>
      </w:r>
      <w:r w:rsidR="0021230D">
        <w:rPr>
          <w:bCs/>
          <w:sz w:val="28"/>
          <w:szCs w:val="28"/>
        </w:rPr>
        <w:t>31</w:t>
      </w:r>
      <w:r w:rsidRPr="00F57DED">
        <w:rPr>
          <w:bCs/>
          <w:sz w:val="28"/>
          <w:szCs w:val="28"/>
        </w:rPr>
        <w:t>.</w:t>
      </w:r>
      <w:r w:rsidR="0021230D">
        <w:rPr>
          <w:bCs/>
          <w:sz w:val="28"/>
          <w:szCs w:val="28"/>
        </w:rPr>
        <w:t>12</w:t>
      </w:r>
      <w:r w:rsidRPr="00F57DED">
        <w:rPr>
          <w:bCs/>
          <w:sz w:val="28"/>
          <w:szCs w:val="28"/>
        </w:rPr>
        <w:t>.202</w:t>
      </w:r>
      <w:r w:rsidR="0021230D">
        <w:rPr>
          <w:bCs/>
          <w:sz w:val="28"/>
          <w:szCs w:val="28"/>
        </w:rPr>
        <w:t>3</w:t>
      </w:r>
      <w:r w:rsidRPr="00F57DED">
        <w:rPr>
          <w:bCs/>
          <w:sz w:val="28"/>
          <w:szCs w:val="28"/>
        </w:rPr>
        <w:t xml:space="preserve"> включено 2</w:t>
      </w:r>
      <w:r>
        <w:rPr>
          <w:bCs/>
          <w:sz w:val="28"/>
          <w:szCs w:val="28"/>
        </w:rPr>
        <w:t>2</w:t>
      </w:r>
      <w:r w:rsidRPr="00F57DED">
        <w:rPr>
          <w:bCs/>
          <w:sz w:val="28"/>
          <w:szCs w:val="28"/>
        </w:rPr>
        <w:t xml:space="preserve"> организации (Таблица </w:t>
      </w:r>
      <w:r>
        <w:rPr>
          <w:bCs/>
          <w:sz w:val="28"/>
          <w:szCs w:val="28"/>
        </w:rPr>
        <w:t>1</w:t>
      </w:r>
      <w:r w:rsidRPr="00F57DED">
        <w:rPr>
          <w:bCs/>
          <w:sz w:val="28"/>
          <w:szCs w:val="28"/>
        </w:rPr>
        <w:t>).</w:t>
      </w:r>
    </w:p>
    <w:p w:rsidR="002E4B79" w:rsidRPr="00F57DED" w:rsidRDefault="002E4B79" w:rsidP="00B6578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</w:p>
    <w:p w:rsidR="002E4B79" w:rsidRPr="00F57DED" w:rsidRDefault="002E4B79" w:rsidP="00B6578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F57DED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</w:t>
      </w:r>
      <w:r w:rsidRPr="00F57DED">
        <w:rPr>
          <w:bCs/>
          <w:sz w:val="28"/>
          <w:szCs w:val="28"/>
        </w:rPr>
        <w:t xml:space="preserve"> – Перечень субъектов естественных монополий в сфере энергети</w:t>
      </w:r>
      <w:r>
        <w:rPr>
          <w:bCs/>
          <w:sz w:val="28"/>
          <w:szCs w:val="28"/>
        </w:rPr>
        <w:t>ки</w:t>
      </w:r>
      <w:r w:rsidRPr="00F57DED">
        <w:rPr>
          <w:bCs/>
          <w:sz w:val="28"/>
          <w:szCs w:val="28"/>
        </w:rPr>
        <w:t xml:space="preserve"> Камчатского края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2812"/>
        <w:gridCol w:w="4629"/>
        <w:gridCol w:w="2094"/>
      </w:tblGrid>
      <w:tr w:rsidR="002E4B79" w:rsidRPr="00F57DED" w:rsidTr="00614F4C">
        <w:trPr>
          <w:trHeight w:val="276"/>
          <w:tblHeader/>
        </w:trPr>
        <w:tc>
          <w:tcPr>
            <w:tcW w:w="324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№ п/п</w:t>
            </w:r>
          </w:p>
        </w:tc>
        <w:tc>
          <w:tcPr>
            <w:tcW w:w="1379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Наименование организации</w:t>
            </w:r>
          </w:p>
        </w:tc>
        <w:tc>
          <w:tcPr>
            <w:tcW w:w="2270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Адрес, телефон организации</w:t>
            </w:r>
          </w:p>
        </w:tc>
        <w:tc>
          <w:tcPr>
            <w:tcW w:w="1027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Примечание</w:t>
            </w:r>
          </w:p>
        </w:tc>
      </w:tr>
      <w:tr w:rsidR="002E4B79" w:rsidRPr="00F57DED" w:rsidTr="00614F4C">
        <w:trPr>
          <w:trHeight w:val="458"/>
        </w:trPr>
        <w:tc>
          <w:tcPr>
            <w:tcW w:w="324" w:type="pct"/>
            <w:vMerge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270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027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2E4B79" w:rsidRPr="00F57DED" w:rsidTr="00D1717B">
        <w:trPr>
          <w:trHeight w:val="63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</w:t>
            </w:r>
          </w:p>
        </w:tc>
        <w:tc>
          <w:tcPr>
            <w:tcW w:w="1379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ПАО «Камчатскэнерго»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</w:pPr>
            <w:r w:rsidRPr="00F57DED">
              <w:t>683000, Камчатский край, г. Петропавловск-Камчатский, ул. Набережная, д. 10, тел.: 8(4152) 42-10-06, 41-20-26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6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2</w:t>
            </w:r>
          </w:p>
        </w:tc>
        <w:tc>
          <w:tcPr>
            <w:tcW w:w="1379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«Электрические сети Ивашки»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688713, Камчатский край, </w:t>
            </w:r>
            <w:proofErr w:type="spellStart"/>
            <w:r w:rsidRPr="00F57DED">
              <w:t>Карагинский</w:t>
            </w:r>
            <w:proofErr w:type="spellEnd"/>
            <w:r w:rsidRPr="00F57DED">
              <w:t xml:space="preserve"> р-н, с. Ивашка, ул. Левченко, д. 5, тел. 8(41545) 42-269, 42-296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43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3</w:t>
            </w:r>
          </w:p>
        </w:tc>
        <w:tc>
          <w:tcPr>
            <w:tcW w:w="1379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«28-Электросеть»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684000, Камчатский край, </w:t>
            </w:r>
            <w:proofErr w:type="spellStart"/>
            <w:r w:rsidRPr="00F57DED">
              <w:t>Елизовский</w:t>
            </w:r>
            <w:proofErr w:type="spellEnd"/>
            <w:r w:rsidRPr="00F57DED">
              <w:t xml:space="preserve"> р-н, г. Елизово, ул. Магистральная, д. 10, тел.: 8(41531)6-16-78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74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4</w:t>
            </w:r>
          </w:p>
        </w:tc>
        <w:tc>
          <w:tcPr>
            <w:tcW w:w="1379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АО «Северо-Восточный ремонтный центр»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684090, Камчатский край, г. </w:t>
            </w:r>
            <w:proofErr w:type="spellStart"/>
            <w:r w:rsidRPr="00F57DED">
              <w:t>Вилючинск</w:t>
            </w:r>
            <w:proofErr w:type="spellEnd"/>
            <w:r w:rsidRPr="00F57DED">
              <w:t>, ул. Владивостокская, д. 1, тел.: 8(41535)3-11-85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87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5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АО «Южные электрические сети Камчатки»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683017, Камчатский край, г. Петропавловск-Камчатский, ул. Тундровая, д. 2, тел.: 8(4152) 41-73-68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2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6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 xml:space="preserve">Филиал «Камчатский» </w:t>
            </w:r>
          </w:p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АО «</w:t>
            </w:r>
            <w:proofErr w:type="spellStart"/>
            <w:r w:rsidRPr="00F57DED">
              <w:rPr>
                <w:color w:val="000000"/>
              </w:rPr>
              <w:t>Оборонэнерго</w:t>
            </w:r>
            <w:proofErr w:type="spellEnd"/>
            <w:r w:rsidRPr="00F57DED">
              <w:rPr>
                <w:color w:val="000000"/>
              </w:rPr>
              <w:t xml:space="preserve">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119160, г. Москва, ул. Знаменка, д. 19, тел.: 8(495) 532-13-06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6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7</w:t>
            </w:r>
          </w:p>
        </w:tc>
        <w:tc>
          <w:tcPr>
            <w:tcW w:w="1379" w:type="pct"/>
            <w:vAlign w:val="center"/>
          </w:tcPr>
          <w:p w:rsidR="002E4B79" w:rsidRPr="00F57DED" w:rsidRDefault="00614F4C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="002E4B79" w:rsidRPr="00F57DED">
              <w:rPr>
                <w:color w:val="000000"/>
              </w:rPr>
              <w:t xml:space="preserve"> «Камчатские электрические сети им. И.А. Пискунова»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683031, Камчатский край, г. Петропавловск-Камчатский, ул. Топоркова, д. 9/3, оф. 6, тел.: 8(4152)228-000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94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lastRenderedPageBreak/>
              <w:t>8</w:t>
            </w:r>
          </w:p>
        </w:tc>
        <w:tc>
          <w:tcPr>
            <w:tcW w:w="1379" w:type="pct"/>
            <w:vAlign w:val="center"/>
          </w:tcPr>
          <w:p w:rsidR="002E4B79" w:rsidRPr="00D13495" w:rsidRDefault="002E4B79" w:rsidP="00B65784">
            <w:pPr>
              <w:widowControl w:val="0"/>
              <w:rPr>
                <w:color w:val="000000"/>
              </w:rPr>
            </w:pPr>
            <w:r w:rsidRPr="00D13495">
              <w:rPr>
                <w:color w:val="000000"/>
              </w:rPr>
              <w:t>ООО «МК Транс»</w:t>
            </w:r>
          </w:p>
        </w:tc>
        <w:tc>
          <w:tcPr>
            <w:tcW w:w="2270" w:type="pct"/>
            <w:vAlign w:val="center"/>
          </w:tcPr>
          <w:p w:rsidR="002E4B79" w:rsidRPr="00D13495" w:rsidRDefault="002E4B79" w:rsidP="002F6F2D">
            <w:pPr>
              <w:widowControl w:val="0"/>
              <w:rPr>
                <w:highlight w:val="red"/>
              </w:rPr>
            </w:pPr>
            <w:r w:rsidRPr="00D13495">
              <w:t xml:space="preserve">683031, </w:t>
            </w:r>
            <w:r>
              <w:t>к</w:t>
            </w:r>
            <w:r w:rsidRPr="00D13495">
              <w:t xml:space="preserve">рай </w:t>
            </w:r>
            <w:r>
              <w:t>К</w:t>
            </w:r>
            <w:r w:rsidRPr="00D13495">
              <w:t>амчатский, г</w:t>
            </w:r>
            <w:r w:rsidR="002F6F2D">
              <w:t>.</w:t>
            </w:r>
            <w:r w:rsidRPr="00D13495">
              <w:t xml:space="preserve"> </w:t>
            </w:r>
            <w:r>
              <w:t>П</w:t>
            </w:r>
            <w:r w:rsidRPr="00D13495">
              <w:t>етропавловск-камчатский, пр</w:t>
            </w:r>
            <w:r w:rsidR="002F6F2D">
              <w:t>.</w:t>
            </w:r>
            <w:r w:rsidRPr="00D13495">
              <w:t xml:space="preserve"> </w:t>
            </w:r>
            <w:r>
              <w:t>К</w:t>
            </w:r>
            <w:r w:rsidRPr="00D13495">
              <w:t xml:space="preserve">арла </w:t>
            </w:r>
            <w:r>
              <w:t>М</w:t>
            </w:r>
            <w:r w:rsidR="00CE5289">
              <w:t>аркса, д</w:t>
            </w:r>
            <w:r w:rsidR="002F6F2D">
              <w:t>.</w:t>
            </w:r>
            <w:r w:rsidR="00CE5289">
              <w:t xml:space="preserve"> 29/1, оф</w:t>
            </w:r>
            <w:r w:rsidRPr="00D13495">
              <w:t>. 205, тел.: 8(4152) 25-20-55</w:t>
            </w:r>
          </w:p>
        </w:tc>
        <w:tc>
          <w:tcPr>
            <w:tcW w:w="1027" w:type="pct"/>
            <w:noWrap/>
          </w:tcPr>
          <w:p w:rsidR="002E4B79" w:rsidRPr="00D13495" w:rsidRDefault="002E4B79" w:rsidP="00B65784">
            <w:pPr>
              <w:widowControl w:val="0"/>
              <w:jc w:val="center"/>
              <w:rPr>
                <w:highlight w:val="red"/>
              </w:rPr>
            </w:pPr>
            <w:r w:rsidRPr="00D13495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2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9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«Терминал «Сероглазка»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683016, Камчатский край, г. Петропавловск-Камчатский, Мишенная, д. 131, тел.: 8 (4152) 46-66-76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89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10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АО «</w:t>
            </w:r>
            <w:proofErr w:type="spellStart"/>
            <w:r w:rsidRPr="00F57DED">
              <w:rPr>
                <w:color w:val="000000"/>
              </w:rPr>
              <w:t>Корякэнерго</w:t>
            </w:r>
            <w:proofErr w:type="spellEnd"/>
            <w:r w:rsidRPr="00F57DED">
              <w:rPr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683013, Камчатский край, г. Петропавловск- Камчатский ул. Озерная, д. 41, тел.: (4152) 46-28-46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784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11</w:t>
            </w:r>
          </w:p>
        </w:tc>
        <w:tc>
          <w:tcPr>
            <w:tcW w:w="1379" w:type="pct"/>
            <w:vAlign w:val="center"/>
          </w:tcPr>
          <w:p w:rsidR="002E4B79" w:rsidRPr="00D13495" w:rsidRDefault="002E4B79" w:rsidP="00B65784">
            <w:pPr>
              <w:widowControl w:val="0"/>
              <w:rPr>
                <w:color w:val="000000"/>
              </w:rPr>
            </w:pPr>
            <w:r w:rsidRPr="00D13495">
              <w:rPr>
                <w:color w:val="000000"/>
              </w:rPr>
              <w:t xml:space="preserve">ООО «Колхоз Ударник»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683905, Камчатский край, г. Петропавловск-Камчатский, ул. Космонавтов, 40, тел.: (4152) 45-00-16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4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12</w:t>
            </w:r>
          </w:p>
        </w:tc>
        <w:tc>
          <w:tcPr>
            <w:tcW w:w="1379" w:type="pct"/>
            <w:vAlign w:val="center"/>
          </w:tcPr>
          <w:p w:rsidR="002E4B79" w:rsidRPr="00D13495" w:rsidRDefault="002E4B79" w:rsidP="00B65784">
            <w:pPr>
              <w:widowControl w:val="0"/>
              <w:rPr>
                <w:color w:val="000000"/>
              </w:rPr>
            </w:pPr>
            <w:r w:rsidRPr="00D13495">
              <w:rPr>
                <w:color w:val="000000"/>
              </w:rPr>
              <w:t>ООО «</w:t>
            </w:r>
            <w:proofErr w:type="spellStart"/>
            <w:r w:rsidRPr="00D13495">
              <w:rPr>
                <w:color w:val="000000"/>
              </w:rPr>
              <w:t>Марлин</w:t>
            </w:r>
            <w:proofErr w:type="spellEnd"/>
            <w:r w:rsidRPr="00D13495">
              <w:rPr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D13495" w:rsidRDefault="002E4B79" w:rsidP="002F6F2D">
            <w:pPr>
              <w:widowControl w:val="0"/>
            </w:pPr>
            <w:r w:rsidRPr="00D13495">
              <w:t>683032, край Камчатский, г</w:t>
            </w:r>
            <w:r w:rsidR="002F6F2D">
              <w:t>.</w:t>
            </w:r>
            <w:r w:rsidRPr="00D13495">
              <w:t xml:space="preserve"> Петропавловск-камчатский, ул</w:t>
            </w:r>
            <w:r w:rsidR="002F6F2D">
              <w:t>.</w:t>
            </w:r>
            <w:r w:rsidRPr="00D13495">
              <w:t xml:space="preserve"> Ленинская, дом 26, тел.: 8(4152) 27-61-41</w:t>
            </w:r>
          </w:p>
        </w:tc>
        <w:tc>
          <w:tcPr>
            <w:tcW w:w="1027" w:type="pct"/>
            <w:noWrap/>
          </w:tcPr>
          <w:p w:rsidR="002E4B79" w:rsidRPr="00D13495" w:rsidRDefault="002E4B79" w:rsidP="00B65784">
            <w:pPr>
              <w:widowControl w:val="0"/>
              <w:jc w:val="center"/>
            </w:pPr>
            <w:r w:rsidRPr="00D13495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49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13</w:t>
            </w:r>
          </w:p>
        </w:tc>
        <w:tc>
          <w:tcPr>
            <w:tcW w:w="1379" w:type="pct"/>
            <w:vAlign w:val="center"/>
          </w:tcPr>
          <w:p w:rsidR="002E4B79" w:rsidRPr="00F57DED" w:rsidRDefault="00D1717B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</w:t>
            </w:r>
            <w:r w:rsidR="002E4B79" w:rsidRPr="00F57DED">
              <w:rPr>
                <w:color w:val="000000"/>
              </w:rPr>
              <w:t xml:space="preserve">О «Петропавловск -Камчатский морской торговый порт»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683000, Камчатский край, г. Петропавловск-Камчатский, пл. Г.И. Щедрин</w:t>
            </w:r>
            <w:r w:rsidR="00697290">
              <w:t>а, д. 2, тел.: 8(4152) 43-40-05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76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14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АО «Оссора»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688700, Камчатский край, </w:t>
            </w:r>
            <w:proofErr w:type="spellStart"/>
            <w:r w:rsidRPr="00F57DED">
              <w:t>Карагинский</w:t>
            </w:r>
            <w:proofErr w:type="spellEnd"/>
            <w:r w:rsidRPr="00F57DED">
              <w:t xml:space="preserve"> район, п. Оссора, ул. Советская, д. 45, тел.: 8(41545) 47-2-23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59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15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«41 Электрическая сеть»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684036, Камчатский край, </w:t>
            </w:r>
            <w:proofErr w:type="spellStart"/>
            <w:r w:rsidRPr="00F57DED">
              <w:t>пгт</w:t>
            </w:r>
            <w:proofErr w:type="spellEnd"/>
            <w:r w:rsidRPr="00F57DED">
              <w:t xml:space="preserve">. </w:t>
            </w:r>
            <w:proofErr w:type="spellStart"/>
            <w:r w:rsidRPr="00F57DED">
              <w:t>Вулканный</w:t>
            </w:r>
            <w:proofErr w:type="spellEnd"/>
            <w:r w:rsidRPr="00F57DED">
              <w:t xml:space="preserve">, ул. Центральная, д. 1, тел.: 8 963 831 2555 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45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16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</w:t>
            </w:r>
            <w:proofErr w:type="spellStart"/>
            <w:r w:rsidRPr="00F57DED">
              <w:rPr>
                <w:color w:val="000000"/>
              </w:rPr>
              <w:t>Алеир</w:t>
            </w:r>
            <w:proofErr w:type="spellEnd"/>
            <w:r w:rsidRPr="00F57DED">
              <w:rPr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683003, Камчатский край, г. Петропавловск-Камчатский, ул. Проспект Победы, д. 107, тел.: 8(4152) 22 66 06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2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17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МУП «</w:t>
            </w:r>
            <w:r>
              <w:rPr>
                <w:color w:val="000000"/>
              </w:rPr>
              <w:t>ТЭСК</w:t>
            </w:r>
            <w:r w:rsidRPr="00F57DED">
              <w:rPr>
                <w:color w:val="000000"/>
              </w:rPr>
              <w:t xml:space="preserve">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>683024, Камчатский край, г. Петропавловск-Камчатский, ул. Владивостокская, д. 29, тел.: 8(4152) 31-44-54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62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18</w:t>
            </w:r>
          </w:p>
        </w:tc>
        <w:tc>
          <w:tcPr>
            <w:tcW w:w="1379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color w:val="000000"/>
              </w:rPr>
            </w:pPr>
            <w:r w:rsidRPr="00F57DED">
              <w:rPr>
                <w:color w:val="000000"/>
              </w:rPr>
              <w:t>ООО «РСО» Силуэт»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</w:pPr>
            <w:r w:rsidRPr="00F57DED">
              <w:t xml:space="preserve">683031, Камчатский край, г. Петропавловск-Камчатский, ул. </w:t>
            </w:r>
            <w:proofErr w:type="spellStart"/>
            <w:r w:rsidRPr="00F57DED">
              <w:t>Бохняка</w:t>
            </w:r>
            <w:proofErr w:type="spellEnd"/>
            <w:r w:rsidRPr="00F57DED">
              <w:t>, д. 18, оф. 101, тел.: 8(4152) 45-99-00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6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19</w:t>
            </w:r>
          </w:p>
        </w:tc>
        <w:tc>
          <w:tcPr>
            <w:tcW w:w="1379" w:type="pct"/>
            <w:vAlign w:val="center"/>
          </w:tcPr>
          <w:p w:rsidR="002E4B79" w:rsidRPr="00F57DED" w:rsidRDefault="00697290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«Камчатская энергетическая компания»</w:t>
            </w:r>
          </w:p>
        </w:tc>
        <w:tc>
          <w:tcPr>
            <w:tcW w:w="2270" w:type="pct"/>
            <w:vAlign w:val="center"/>
          </w:tcPr>
          <w:p w:rsidR="002E4B79" w:rsidRPr="00F57DED" w:rsidRDefault="00697290" w:rsidP="00CE5289">
            <w:pPr>
              <w:widowControl w:val="0"/>
            </w:pPr>
            <w:r>
              <w:t xml:space="preserve">683006, </w:t>
            </w:r>
            <w:r w:rsidRPr="00F57DED">
              <w:t>Камчатский край</w:t>
            </w:r>
            <w:r>
              <w:t xml:space="preserve">, </w:t>
            </w:r>
            <w:r w:rsidR="002F6F2D" w:rsidRPr="00F57DED">
              <w:t>г. Петропавловск-Камчатский,</w:t>
            </w:r>
            <w:r w:rsidR="002F6F2D">
              <w:t xml:space="preserve"> </w:t>
            </w:r>
            <w:r>
              <w:t>ул.</w:t>
            </w:r>
            <w:r w:rsidR="00CE5289">
              <w:t xml:space="preserve"> </w:t>
            </w:r>
            <w:r>
              <w:t xml:space="preserve">Топоркова, </w:t>
            </w:r>
            <w:r w:rsidR="00CE5289">
              <w:t xml:space="preserve">д. </w:t>
            </w:r>
            <w:r>
              <w:t>9/8</w:t>
            </w:r>
            <w:r w:rsidR="00CE5289">
              <w:t>, оф.1, тел. 8 914 419 05 10</w:t>
            </w:r>
          </w:p>
        </w:tc>
        <w:tc>
          <w:tcPr>
            <w:tcW w:w="1027" w:type="pct"/>
            <w:noWrap/>
          </w:tcPr>
          <w:p w:rsidR="002E4B79" w:rsidRPr="00F57DED" w:rsidRDefault="00697290" w:rsidP="00B65784">
            <w:pPr>
              <w:widowControl w:val="0"/>
              <w:jc w:val="center"/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61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lastRenderedPageBreak/>
              <w:t>20</w:t>
            </w:r>
          </w:p>
        </w:tc>
        <w:tc>
          <w:tcPr>
            <w:tcW w:w="1379" w:type="pct"/>
            <w:vAlign w:val="center"/>
          </w:tcPr>
          <w:p w:rsidR="002E4B79" w:rsidRPr="00F57DED" w:rsidRDefault="00697290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«Свободный порт Камчатка»</w:t>
            </w:r>
          </w:p>
        </w:tc>
        <w:tc>
          <w:tcPr>
            <w:tcW w:w="2270" w:type="pct"/>
            <w:vAlign w:val="center"/>
          </w:tcPr>
          <w:p w:rsidR="002E4B79" w:rsidRPr="00F57DED" w:rsidRDefault="00CE5289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683000, </w:t>
            </w:r>
            <w:r w:rsidRPr="00F57DED">
              <w:t>Камчатский край</w:t>
            </w:r>
            <w:r>
              <w:t xml:space="preserve">, </w:t>
            </w:r>
            <w:r w:rsidR="002F6F2D" w:rsidRPr="00F57DED">
              <w:t>г. Петропавловск-Камчатский,</w:t>
            </w:r>
            <w:r w:rsidR="002F6F2D">
              <w:t xml:space="preserve"> </w:t>
            </w:r>
            <w:r>
              <w:t>ул. Ленинская, д.59, оф.607, тел.: 8(4152) 43-40-92</w:t>
            </w:r>
          </w:p>
        </w:tc>
        <w:tc>
          <w:tcPr>
            <w:tcW w:w="1027" w:type="pct"/>
            <w:noWrap/>
          </w:tcPr>
          <w:p w:rsidR="002E4B79" w:rsidRPr="00F57DED" w:rsidRDefault="00697290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D1717B">
        <w:trPr>
          <w:trHeight w:val="561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21</w:t>
            </w:r>
          </w:p>
        </w:tc>
        <w:tc>
          <w:tcPr>
            <w:tcW w:w="1379" w:type="pct"/>
            <w:vAlign w:val="center"/>
          </w:tcPr>
          <w:p w:rsidR="002E4B79" w:rsidRPr="00F57DED" w:rsidRDefault="00697290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«Электролиния»</w:t>
            </w:r>
          </w:p>
        </w:tc>
        <w:tc>
          <w:tcPr>
            <w:tcW w:w="2270" w:type="pct"/>
            <w:vAlign w:val="center"/>
          </w:tcPr>
          <w:p w:rsidR="002E4B79" w:rsidRPr="00F57DED" w:rsidRDefault="00CE5289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683003, </w:t>
            </w:r>
            <w:r w:rsidRPr="00F57DED">
              <w:t>Камчатский край</w:t>
            </w:r>
            <w:r>
              <w:t xml:space="preserve">, </w:t>
            </w:r>
            <w:r w:rsidR="002F6F2D" w:rsidRPr="00F57DED">
              <w:t>г. Петропавловск-Камчатский,</w:t>
            </w:r>
            <w:r w:rsidR="002F6F2D">
              <w:t xml:space="preserve"> </w:t>
            </w:r>
            <w:r>
              <w:t>ул. Ленинградская, д.65/1, оф.45, тел.: 8 962 291 53 68</w:t>
            </w:r>
          </w:p>
        </w:tc>
        <w:tc>
          <w:tcPr>
            <w:tcW w:w="1027" w:type="pct"/>
            <w:noWrap/>
          </w:tcPr>
          <w:p w:rsidR="002E4B79" w:rsidRPr="00F57DED" w:rsidRDefault="00697290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  <w:tr w:rsidR="00D1717B" w:rsidRPr="00F57DED" w:rsidTr="00D1717B">
        <w:trPr>
          <w:trHeight w:val="561"/>
        </w:trPr>
        <w:tc>
          <w:tcPr>
            <w:tcW w:w="324" w:type="pct"/>
            <w:vAlign w:val="center"/>
          </w:tcPr>
          <w:p w:rsidR="00D1717B" w:rsidRPr="00F57DED" w:rsidRDefault="00D1717B" w:rsidP="00B6578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pct"/>
            <w:vAlign w:val="center"/>
          </w:tcPr>
          <w:p w:rsidR="00D1717B" w:rsidRDefault="00D1717B" w:rsidP="00B657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«Океан-Газ»</w:t>
            </w:r>
          </w:p>
        </w:tc>
        <w:tc>
          <w:tcPr>
            <w:tcW w:w="2270" w:type="pct"/>
            <w:vAlign w:val="center"/>
          </w:tcPr>
          <w:p w:rsidR="00D1717B" w:rsidRPr="00D1717B" w:rsidRDefault="00D1717B" w:rsidP="00D171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683009, </w:t>
            </w:r>
            <w:r w:rsidRPr="00D1717B">
              <w:rPr>
                <w:color w:val="000000"/>
              </w:rPr>
              <w:t xml:space="preserve">Камчатский край, </w:t>
            </w:r>
            <w:r w:rsidRPr="00D1717B">
              <w:rPr>
                <w:color w:val="000000"/>
                <w:sz w:val="22"/>
              </w:rPr>
              <w:t>г</w:t>
            </w:r>
            <w:r>
              <w:rPr>
                <w:color w:val="000000"/>
              </w:rPr>
              <w:t>.</w:t>
            </w:r>
            <w:r w:rsidRPr="00D1717B">
              <w:rPr>
                <w:color w:val="000000"/>
              </w:rPr>
              <w:t xml:space="preserve"> П</w:t>
            </w:r>
            <w:r w:rsidR="002F6F2D" w:rsidRPr="00D1717B">
              <w:rPr>
                <w:color w:val="000000"/>
              </w:rPr>
              <w:t>етропавловск</w:t>
            </w:r>
            <w:r w:rsidRPr="00D1717B">
              <w:rPr>
                <w:color w:val="000000"/>
              </w:rPr>
              <w:t>-К</w:t>
            </w:r>
            <w:r w:rsidR="002F6F2D" w:rsidRPr="00D1717B">
              <w:rPr>
                <w:color w:val="000000"/>
              </w:rPr>
              <w:t>амчатский</w:t>
            </w:r>
            <w:r w:rsidR="002F6F2D">
              <w:rPr>
                <w:color w:val="000000"/>
              </w:rPr>
              <w:t xml:space="preserve">, </w:t>
            </w:r>
            <w:r w:rsidR="002F6F2D" w:rsidRPr="00D1717B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D1717B">
              <w:rPr>
                <w:color w:val="000000"/>
              </w:rPr>
              <w:t xml:space="preserve"> А</w:t>
            </w:r>
            <w:r w:rsidR="002F6F2D" w:rsidRPr="00D1717B">
              <w:rPr>
                <w:color w:val="000000"/>
              </w:rPr>
              <w:t>кадемика</w:t>
            </w:r>
            <w:r w:rsidRPr="00D1717B">
              <w:rPr>
                <w:color w:val="000000"/>
              </w:rPr>
              <w:t xml:space="preserve"> К</w:t>
            </w:r>
            <w:r w:rsidR="002F6F2D" w:rsidRPr="00D1717B">
              <w:rPr>
                <w:color w:val="000000"/>
              </w:rPr>
              <w:t>урчатова</w:t>
            </w:r>
            <w:r w:rsidRPr="00D1717B">
              <w:rPr>
                <w:color w:val="000000"/>
              </w:rPr>
              <w:t xml:space="preserve">, </w:t>
            </w:r>
            <w:r w:rsidR="002F6F2D" w:rsidRPr="00D1717B">
              <w:rPr>
                <w:color w:val="000000"/>
              </w:rPr>
              <w:t>д</w:t>
            </w:r>
            <w:r w:rsidR="002F6F2D">
              <w:rPr>
                <w:color w:val="000000"/>
              </w:rPr>
              <w:t>.</w:t>
            </w:r>
            <w:r w:rsidRPr="00D1717B">
              <w:rPr>
                <w:color w:val="000000"/>
              </w:rPr>
              <w:t xml:space="preserve"> 35, кв.25</w:t>
            </w:r>
          </w:p>
          <w:p w:rsidR="00D1717B" w:rsidRDefault="00D1717B" w:rsidP="00D1717B">
            <w:pPr>
              <w:widowControl w:val="0"/>
              <w:rPr>
                <w:color w:val="000000"/>
              </w:rPr>
            </w:pPr>
          </w:p>
        </w:tc>
        <w:tc>
          <w:tcPr>
            <w:tcW w:w="1027" w:type="pct"/>
            <w:noWrap/>
          </w:tcPr>
          <w:p w:rsidR="00D1717B" w:rsidRPr="00F57DED" w:rsidRDefault="00D1717B" w:rsidP="00B65784">
            <w:pPr>
              <w:widowControl w:val="0"/>
              <w:jc w:val="center"/>
              <w:rPr>
                <w:color w:val="000000"/>
              </w:rPr>
            </w:pPr>
            <w:r w:rsidRPr="00F57DED">
              <w:rPr>
                <w:color w:val="000000"/>
              </w:rPr>
              <w:t>деятельность в сфере электроэнергетики</w:t>
            </w:r>
          </w:p>
        </w:tc>
      </w:tr>
    </w:tbl>
    <w:p w:rsidR="002E4B79" w:rsidRDefault="002E4B79" w:rsidP="006E356A">
      <w:pPr>
        <w:widowControl w:val="0"/>
      </w:pPr>
      <w:r w:rsidRPr="00F57DED">
        <w:rPr>
          <w:bCs/>
          <w:sz w:val="28"/>
          <w:szCs w:val="28"/>
        </w:rPr>
        <w:t xml:space="preserve">* </w:t>
      </w:r>
      <w:hyperlink r:id="rId5" w:history="1">
        <w:r w:rsidR="006E356A" w:rsidRPr="00D559A5">
          <w:rPr>
            <w:rStyle w:val="a4"/>
          </w:rPr>
          <w:t>https://www.kamgov.ru/sltarif/v-sfere-elektroenergetiki/informacia-o-territorialnyh-setevyh-organizaciah</w:t>
        </w:r>
      </w:hyperlink>
    </w:p>
    <w:p w:rsidR="006E356A" w:rsidRDefault="006E356A" w:rsidP="006E356A">
      <w:pPr>
        <w:widowControl w:val="0"/>
        <w:rPr>
          <w:b/>
          <w:sz w:val="28"/>
          <w:szCs w:val="28"/>
        </w:rPr>
      </w:pPr>
      <w:bookmarkStart w:id="0" w:name="_GoBack"/>
      <w:bookmarkEnd w:id="0"/>
    </w:p>
    <w:p w:rsidR="00614F4C" w:rsidRDefault="00614F4C" w:rsidP="00B65784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Информация по вопросам установления цен (тарифов) </w:t>
      </w:r>
      <w:r>
        <w:rPr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>
        <w:rPr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электроэнергетики </w:t>
      </w:r>
    </w:p>
    <w:p w:rsidR="00614F4C" w:rsidRPr="00796EC2" w:rsidRDefault="00614F4C" w:rsidP="0085164E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796EC2">
        <w:rPr>
          <w:rFonts w:eastAsia="Calibri"/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</w:t>
      </w:r>
      <w:r w:rsidR="005B5C82">
        <w:rPr>
          <w:rFonts w:eastAsia="Calibri"/>
          <w:sz w:val="28"/>
          <w:szCs w:val="28"/>
        </w:rPr>
        <w:t>щих объектах», от 10.03.2022 № 196</w:t>
      </w:r>
      <w:r w:rsidRPr="00796EC2">
        <w:rPr>
          <w:rFonts w:eastAsia="Calibri"/>
          <w:sz w:val="28"/>
          <w:szCs w:val="28"/>
        </w:rPr>
        <w:t>/</w:t>
      </w:r>
      <w:r w:rsidR="005B5C82">
        <w:rPr>
          <w:rFonts w:eastAsia="Calibri"/>
          <w:sz w:val="28"/>
          <w:szCs w:val="28"/>
        </w:rPr>
        <w:t>22</w:t>
      </w:r>
      <w:r w:rsidRPr="00796EC2">
        <w:rPr>
          <w:rFonts w:eastAsia="Calibri"/>
          <w:sz w:val="28"/>
          <w:szCs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</w:t>
      </w:r>
      <w:r w:rsidRPr="00B050A9">
        <w:rPr>
          <w:rFonts w:eastAsia="Calibri"/>
          <w:sz w:val="28"/>
          <w:szCs w:val="28"/>
        </w:rPr>
        <w:t>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«О предельных уровнях тарифов на электрическую энергию (мощность)» на очередной регулируемый год, «Об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Федерации» на очередной регулируемый год, постановлением Правительства Камчатского</w:t>
      </w:r>
      <w:r w:rsidRPr="00796EC2">
        <w:rPr>
          <w:rFonts w:eastAsia="Calibri"/>
          <w:sz w:val="28"/>
          <w:szCs w:val="28"/>
        </w:rPr>
        <w:t xml:space="preserve"> края от </w:t>
      </w:r>
      <w:r w:rsidR="0085164E">
        <w:rPr>
          <w:sz w:val="28"/>
        </w:rPr>
        <w:t>07.04.2023 № 204-П «Об утверждении Положения о Региональной службе по тарифам и ценам Камчатского края»,</w:t>
      </w:r>
      <w:r w:rsidR="0085164E">
        <w:rPr>
          <w:rFonts w:eastAsia="Calibri"/>
          <w:sz w:val="28"/>
          <w:szCs w:val="28"/>
        </w:rPr>
        <w:t xml:space="preserve"> </w:t>
      </w:r>
      <w:r w:rsidRPr="00796EC2">
        <w:rPr>
          <w:rFonts w:eastAsia="Calibri"/>
          <w:sz w:val="28"/>
          <w:szCs w:val="28"/>
        </w:rPr>
        <w:t>Службой утверждаются экономически обоснованные тарифы на электрическую энергию, поставляемую потребителям Камчатского края.</w:t>
      </w:r>
    </w:p>
    <w:p w:rsidR="0085164E" w:rsidRPr="0085164E" w:rsidRDefault="0085164E" w:rsidP="0085164E">
      <w:pPr>
        <w:widowControl w:val="0"/>
        <w:autoSpaceDE w:val="0"/>
        <w:autoSpaceDN w:val="0"/>
        <w:spacing w:before="40" w:after="40"/>
        <w:ind w:firstLine="708"/>
        <w:jc w:val="both"/>
        <w:rPr>
          <w:sz w:val="28"/>
        </w:rPr>
      </w:pPr>
      <w:r w:rsidRPr="0085164E">
        <w:rPr>
          <w:sz w:val="28"/>
        </w:rPr>
        <w:t xml:space="preserve">Необходимо отметить, что в соответствии с постановлением Правительства РФ </w:t>
      </w:r>
      <w:r w:rsidRPr="0085164E">
        <w:rPr>
          <w:sz w:val="28"/>
        </w:rPr>
        <w:lastRenderedPageBreak/>
        <w:t xml:space="preserve">от 14.11.2022 № 2053 «Об особенностях индексации регулируемых цен (тарифов) с </w:t>
      </w:r>
      <w:r w:rsidR="009C4704">
        <w:rPr>
          <w:sz w:val="28"/>
        </w:rPr>
        <w:br/>
      </w:r>
      <w:r w:rsidRPr="0085164E">
        <w:rPr>
          <w:sz w:val="28"/>
        </w:rPr>
        <w:t>1 декабря 2022 г. по 31 декабря 2023 г. и о внесении изменений в некоторые акты Правительства Российской Федерации» тарифы на 2023 год установлены без календарной разбивки и введены в действие с 1 декабря 2022 года.</w:t>
      </w:r>
    </w:p>
    <w:p w:rsidR="00614F4C" w:rsidRPr="00796EC2" w:rsidRDefault="00614F4C" w:rsidP="00B6578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796EC2">
        <w:rPr>
          <w:rFonts w:eastAsia="Calibri"/>
          <w:sz w:val="28"/>
          <w:szCs w:val="28"/>
        </w:rPr>
        <w:t xml:space="preserve">При утверждении экономически обоснованных тарифов на электрическую энергию Служба руководствуется предельными уровнями тарифа, утверждаемыми ФАС России. </w:t>
      </w:r>
    </w:p>
    <w:p w:rsidR="00614F4C" w:rsidRPr="00796EC2" w:rsidRDefault="00614F4C" w:rsidP="00B6578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796EC2">
        <w:rPr>
          <w:rFonts w:eastAsia="Calibri"/>
          <w:sz w:val="28"/>
          <w:szCs w:val="28"/>
        </w:rPr>
        <w:t xml:space="preserve">Ежегодно до 1 мая </w:t>
      </w:r>
      <w:proofErr w:type="spellStart"/>
      <w:r w:rsidRPr="00796EC2">
        <w:rPr>
          <w:rFonts w:eastAsia="Calibri"/>
          <w:sz w:val="28"/>
          <w:szCs w:val="28"/>
        </w:rPr>
        <w:t>энергоснабжающие</w:t>
      </w:r>
      <w:proofErr w:type="spellEnd"/>
      <w:r w:rsidRPr="00796EC2">
        <w:rPr>
          <w:rFonts w:eastAsia="Calibri"/>
          <w:sz w:val="28"/>
          <w:szCs w:val="28"/>
        </w:rPr>
        <w:t xml:space="preserve"> организации Камчатского края представляют в Службу заявления на установление тарифов на очередной период регулирования. </w:t>
      </w:r>
    </w:p>
    <w:p w:rsidR="00614F4C" w:rsidRPr="00796EC2" w:rsidRDefault="00614F4C" w:rsidP="00B6578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796EC2">
        <w:rPr>
          <w:rFonts w:eastAsia="Calibri"/>
          <w:sz w:val="28"/>
          <w:szCs w:val="28"/>
        </w:rPr>
        <w:t xml:space="preserve">С 1 </w:t>
      </w:r>
      <w:r w:rsidRPr="00802AEF">
        <w:rPr>
          <w:rFonts w:eastAsia="Calibri"/>
          <w:sz w:val="28"/>
          <w:szCs w:val="28"/>
        </w:rPr>
        <w:t>января 202</w:t>
      </w:r>
      <w:r w:rsidR="00802AEF" w:rsidRPr="00802AEF">
        <w:rPr>
          <w:rFonts w:eastAsia="Calibri"/>
          <w:sz w:val="28"/>
          <w:szCs w:val="28"/>
        </w:rPr>
        <w:t>0</w:t>
      </w:r>
      <w:r w:rsidRPr="00802AEF">
        <w:rPr>
          <w:rFonts w:eastAsia="Calibri"/>
          <w:sz w:val="28"/>
          <w:szCs w:val="28"/>
        </w:rPr>
        <w:t xml:space="preserve"> года тарифы на электрическую энергию устанавливаются на долгосрочный период (от трех до пяти лет), за и</w:t>
      </w:r>
      <w:r w:rsidRPr="00796EC2">
        <w:rPr>
          <w:rFonts w:eastAsia="Calibri"/>
          <w:sz w:val="28"/>
          <w:szCs w:val="28"/>
        </w:rPr>
        <w:t>сключением случаев, предусмотренных действующим законодательством.</w:t>
      </w:r>
    </w:p>
    <w:p w:rsidR="0085164E" w:rsidRPr="0085164E" w:rsidRDefault="0085164E" w:rsidP="0085164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5164E">
        <w:rPr>
          <w:rFonts w:eastAsia="Calibri"/>
          <w:sz w:val="28"/>
          <w:szCs w:val="28"/>
        </w:rPr>
        <w:t xml:space="preserve">Всего за </w:t>
      </w:r>
      <w:r w:rsidRPr="00C201FA">
        <w:rPr>
          <w:rFonts w:eastAsia="Calibri"/>
          <w:sz w:val="28"/>
          <w:szCs w:val="28"/>
        </w:rPr>
        <w:t>202</w:t>
      </w:r>
      <w:r w:rsidR="009C4704">
        <w:rPr>
          <w:rFonts w:eastAsia="Calibri"/>
          <w:sz w:val="28"/>
          <w:szCs w:val="28"/>
        </w:rPr>
        <w:t>3</w:t>
      </w:r>
      <w:r w:rsidRPr="0085164E">
        <w:rPr>
          <w:rFonts w:eastAsia="Calibri"/>
          <w:sz w:val="28"/>
          <w:szCs w:val="28"/>
        </w:rPr>
        <w:t xml:space="preserve"> год Службой рассмотрено 41 обращение </w:t>
      </w:r>
      <w:proofErr w:type="spellStart"/>
      <w:r w:rsidRPr="0085164E">
        <w:rPr>
          <w:rFonts w:eastAsia="Calibri"/>
          <w:sz w:val="28"/>
          <w:szCs w:val="28"/>
        </w:rPr>
        <w:t>энергоснабжающих</w:t>
      </w:r>
      <w:proofErr w:type="spellEnd"/>
      <w:r w:rsidRPr="0085164E">
        <w:rPr>
          <w:rFonts w:eastAsia="Calibri"/>
          <w:sz w:val="28"/>
          <w:szCs w:val="28"/>
        </w:rPr>
        <w:t xml:space="preserve"> организаций для установления регулируемых тарифов на 2023 год, открыто 13 дел по утверждению тарифов на электрическую энергию по заявлениям организаций, принято 114 тарифных решений в отношении регулируемых организаций Камчатского края в сфере электроэнергетики, в рамках которых утверждено 5628 тарифов.</w:t>
      </w:r>
    </w:p>
    <w:p w:rsidR="001B1308" w:rsidRPr="001B1308" w:rsidRDefault="001B1308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B1308">
        <w:rPr>
          <w:b/>
          <w:sz w:val="28"/>
          <w:szCs w:val="28"/>
        </w:rPr>
        <w:t xml:space="preserve">3. Анализ данных об уровне цен (тарифов), установленных </w:t>
      </w:r>
      <w:r w:rsidRPr="001B1308">
        <w:rPr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1B1308">
        <w:rPr>
          <w:b/>
          <w:i/>
          <w:sz w:val="28"/>
          <w:szCs w:val="28"/>
        </w:rPr>
        <w:t xml:space="preserve"> </w:t>
      </w:r>
      <w:r w:rsidRPr="001B1308">
        <w:rPr>
          <w:b/>
          <w:bCs/>
          <w:sz w:val="28"/>
          <w:szCs w:val="28"/>
        </w:rPr>
        <w:t>в сфере электроэнергетики, в 20</w:t>
      </w:r>
      <w:r w:rsidR="00E76418">
        <w:rPr>
          <w:b/>
          <w:bCs/>
          <w:sz w:val="28"/>
          <w:szCs w:val="28"/>
        </w:rPr>
        <w:t>20</w:t>
      </w:r>
      <w:r w:rsidRPr="001B1308">
        <w:rPr>
          <w:b/>
          <w:bCs/>
          <w:sz w:val="28"/>
          <w:szCs w:val="28"/>
        </w:rPr>
        <w:t xml:space="preserve"> - 202</w:t>
      </w:r>
      <w:r w:rsidR="00E76418">
        <w:rPr>
          <w:b/>
          <w:bCs/>
          <w:sz w:val="28"/>
          <w:szCs w:val="28"/>
        </w:rPr>
        <w:t>3</w:t>
      </w:r>
      <w:r w:rsidRPr="001B1308">
        <w:rPr>
          <w:b/>
          <w:bCs/>
          <w:sz w:val="28"/>
          <w:szCs w:val="28"/>
        </w:rPr>
        <w:t xml:space="preserve"> годы</w:t>
      </w:r>
    </w:p>
    <w:p w:rsidR="00614F4C" w:rsidRDefault="00614F4C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B1308" w:rsidRDefault="001B1308" w:rsidP="00B65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антимонопольная служба устанавливает предельные (минимальный и (или) максимальный) уровни цен (тарифов)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рынка.</w:t>
      </w:r>
    </w:p>
    <w:p w:rsidR="001B1308" w:rsidRDefault="001B1308" w:rsidP="00B65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исполнительной власти субъектов Российской Федерации в области государственного регулирования тарифов устанавливают цены (тарифы)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в пределах предельных уровней цен (тарифов) установленных решением Федеральной антимонопольной службы.</w:t>
      </w:r>
    </w:p>
    <w:p w:rsidR="001B1308" w:rsidRDefault="001B1308" w:rsidP="00B65784">
      <w:pPr>
        <w:widowControl w:val="0"/>
        <w:ind w:firstLine="709"/>
        <w:jc w:val="both"/>
        <w:rPr>
          <w:sz w:val="28"/>
          <w:szCs w:val="28"/>
        </w:rPr>
      </w:pPr>
      <w:r w:rsidRPr="00796EC2">
        <w:rPr>
          <w:rFonts w:eastAsia="Calibri"/>
          <w:sz w:val="28"/>
          <w:szCs w:val="28"/>
        </w:rPr>
        <w:t xml:space="preserve">Таблица </w:t>
      </w:r>
      <w:r w:rsidR="009F3656">
        <w:rPr>
          <w:rFonts w:eastAsia="Calibri"/>
          <w:sz w:val="28"/>
          <w:szCs w:val="28"/>
        </w:rPr>
        <w:t>2</w:t>
      </w:r>
      <w:r w:rsidRPr="00796EC2">
        <w:rPr>
          <w:rFonts w:eastAsia="Calibri"/>
          <w:sz w:val="28"/>
          <w:szCs w:val="28"/>
        </w:rPr>
        <w:t xml:space="preserve"> </w:t>
      </w:r>
      <w:r w:rsidRPr="00796EC2">
        <w:rPr>
          <w:rFonts w:eastAsia="Calibri"/>
          <w:bCs/>
          <w:sz w:val="28"/>
          <w:szCs w:val="28"/>
        </w:rPr>
        <w:t>–</w:t>
      </w:r>
      <w:r w:rsidRPr="00796EC2">
        <w:rPr>
          <w:rFonts w:eastAsia="Calibri"/>
          <w:sz w:val="28"/>
          <w:szCs w:val="28"/>
        </w:rPr>
        <w:t xml:space="preserve"> </w:t>
      </w:r>
      <w:r w:rsidRPr="00796EC2">
        <w:rPr>
          <w:sz w:val="28"/>
          <w:szCs w:val="28"/>
        </w:rPr>
        <w:t>Динамика экономически обоснованного среднего тарифа на электрическую энергию по Камчатскому краю за период 20</w:t>
      </w:r>
      <w:r w:rsidR="00C201FA">
        <w:rPr>
          <w:sz w:val="28"/>
          <w:szCs w:val="28"/>
        </w:rPr>
        <w:t>20</w:t>
      </w:r>
      <w:r w:rsidRPr="00796EC2">
        <w:rPr>
          <w:sz w:val="28"/>
          <w:szCs w:val="28"/>
        </w:rPr>
        <w:t xml:space="preserve"> – 202</w:t>
      </w:r>
      <w:r w:rsidR="00C201FA">
        <w:rPr>
          <w:sz w:val="28"/>
          <w:szCs w:val="28"/>
        </w:rPr>
        <w:t>3</w:t>
      </w:r>
      <w:r w:rsidRPr="00796EC2">
        <w:rPr>
          <w:sz w:val="28"/>
          <w:szCs w:val="28"/>
        </w:rPr>
        <w:t xml:space="preserve"> годы</w:t>
      </w:r>
    </w:p>
    <w:p w:rsidR="00B050A9" w:rsidRDefault="00B050A9" w:rsidP="00B65784">
      <w:pPr>
        <w:widowControl w:val="0"/>
        <w:ind w:firstLine="709"/>
        <w:jc w:val="both"/>
        <w:rPr>
          <w:sz w:val="28"/>
          <w:szCs w:val="28"/>
        </w:rPr>
      </w:pPr>
    </w:p>
    <w:p w:rsidR="001B1308" w:rsidRPr="00796EC2" w:rsidRDefault="00B050A9" w:rsidP="00B050A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102"/>
        <w:gridCol w:w="1102"/>
        <w:gridCol w:w="1172"/>
        <w:gridCol w:w="1273"/>
        <w:gridCol w:w="1273"/>
        <w:gridCol w:w="1133"/>
        <w:gridCol w:w="1407"/>
      </w:tblGrid>
      <w:tr w:rsidR="00B050A9" w:rsidRPr="00796EC2" w:rsidTr="00B050A9">
        <w:trPr>
          <w:trHeight w:val="28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B65784">
            <w:pPr>
              <w:widowControl w:val="0"/>
              <w:jc w:val="center"/>
            </w:pPr>
            <w:r w:rsidRPr="00796EC2">
              <w:t>Наименование показателя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B65784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2020 год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B65784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B6578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B6578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B050A9" w:rsidRPr="00796EC2" w:rsidTr="00B050A9">
        <w:trPr>
          <w:trHeight w:val="55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E76418">
            <w:pPr>
              <w:widowControl w:val="0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1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2020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2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2020 года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1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5666F9">
              <w:rPr>
                <w:sz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66F9">
              <w:rPr>
                <w:sz w:val="20"/>
              </w:rPr>
              <w:t xml:space="preserve">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5666F9">
              <w:rPr>
                <w:sz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 w:rsidRPr="005666F9">
              <w:rPr>
                <w:sz w:val="20"/>
              </w:rPr>
              <w:t>1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</w:t>
            </w:r>
            <w:r>
              <w:rPr>
                <w:sz w:val="20"/>
              </w:rPr>
              <w:t>2</w:t>
            </w:r>
            <w:r w:rsidRPr="005666F9">
              <w:rPr>
                <w:sz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66F9">
              <w:rPr>
                <w:sz w:val="20"/>
              </w:rPr>
              <w:t xml:space="preserve"> п</w:t>
            </w:r>
            <w:r>
              <w:rPr>
                <w:sz w:val="20"/>
              </w:rPr>
              <w:t>/г</w:t>
            </w:r>
            <w:r w:rsidRPr="005666F9">
              <w:rPr>
                <w:sz w:val="20"/>
              </w:rPr>
              <w:t xml:space="preserve"> 202</w:t>
            </w:r>
            <w:r>
              <w:rPr>
                <w:sz w:val="20"/>
              </w:rPr>
              <w:t>2</w:t>
            </w:r>
            <w:r w:rsidRPr="005666F9">
              <w:rPr>
                <w:sz w:val="20"/>
              </w:rPr>
              <w:t xml:space="preserve"> года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5666F9" w:rsidRDefault="00B050A9" w:rsidP="00E76418">
            <w:pPr>
              <w:widowControl w:val="0"/>
              <w:jc w:val="center"/>
              <w:rPr>
                <w:sz w:val="20"/>
              </w:rPr>
            </w:pPr>
          </w:p>
        </w:tc>
      </w:tr>
      <w:tr w:rsidR="00B050A9" w:rsidRPr="00796EC2" w:rsidTr="00B050A9">
        <w:trPr>
          <w:trHeight w:val="4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 xml:space="preserve">Предельный минимальный уровень </w:t>
            </w:r>
            <w:r w:rsidRPr="00796EC2">
              <w:lastRenderedPageBreak/>
              <w:t>тарифа по приказу, коп./кВт*ч (без НДС)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lastRenderedPageBreak/>
              <w:t>420,94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1330,41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1330,41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1376,97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jc w:val="center"/>
            </w:pPr>
            <w:r>
              <w:t>1376,97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jc w:val="center"/>
            </w:pPr>
            <w:r>
              <w:t>1412,21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1488,10</w:t>
            </w:r>
          </w:p>
        </w:tc>
      </w:tr>
      <w:tr w:rsidR="00B050A9" w:rsidRPr="00796EC2" w:rsidTr="00B050A9">
        <w:trPr>
          <w:trHeight w:val="4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Предельный максимальный уровень тарифа по приказу, коп./кВт*ч (без НДС)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1261,05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1350,43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1350,43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1590,53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jc w:val="center"/>
            </w:pPr>
            <w:r>
              <w:t>1562,33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jc w:val="center"/>
            </w:pPr>
            <w:r>
              <w:t>1565,71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1706,62</w:t>
            </w:r>
          </w:p>
        </w:tc>
      </w:tr>
      <w:tr w:rsidR="00B050A9" w:rsidRPr="00796EC2" w:rsidTr="00B050A9">
        <w:trPr>
          <w:trHeight w:val="4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Экономически обоснованный средний тариф по Камчатскому краю, коп./кВт*ч (без НДС)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1 304,46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1 437,11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1 495,91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1 706,59</w:t>
            </w:r>
          </w:p>
        </w:tc>
      </w:tr>
      <w:tr w:rsidR="00B050A9" w:rsidRPr="00796EC2" w:rsidTr="00B050A9">
        <w:trPr>
          <w:trHeight w:val="4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% роста к предыдущему периоду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 w:rsidRPr="00796EC2">
              <w:t>110,70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110,17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104,09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796EC2" w:rsidRDefault="00B050A9" w:rsidP="00B050A9">
            <w:pPr>
              <w:widowControl w:val="0"/>
              <w:jc w:val="center"/>
            </w:pPr>
            <w:r>
              <w:t>114,08</w:t>
            </w:r>
          </w:p>
        </w:tc>
      </w:tr>
    </w:tbl>
    <w:p w:rsidR="001B1308" w:rsidRPr="00796EC2" w:rsidRDefault="001B1308" w:rsidP="00B65784">
      <w:pPr>
        <w:widowControl w:val="0"/>
        <w:ind w:firstLine="709"/>
        <w:jc w:val="both"/>
        <w:rPr>
          <w:sz w:val="28"/>
          <w:szCs w:val="28"/>
        </w:rPr>
      </w:pPr>
    </w:p>
    <w:p w:rsidR="00802AEF" w:rsidRPr="00802AEF" w:rsidRDefault="00802AEF" w:rsidP="00B050A9">
      <w:pPr>
        <w:ind w:right="125" w:firstLine="709"/>
        <w:jc w:val="both"/>
        <w:rPr>
          <w:sz w:val="28"/>
          <w:szCs w:val="28"/>
        </w:rPr>
      </w:pPr>
      <w:r w:rsidRPr="00802AEF">
        <w:rPr>
          <w:sz w:val="28"/>
          <w:szCs w:val="28"/>
        </w:rPr>
        <w:t>По итогам тарифного регулирования на 2023 год в рамках приказа ФАС России от 11.10.2022 № 734/22 «О предельных минимальных и максимальных уровнях тарифов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рынка, на 2023 год, в среднем по субъекту Российской Федерации», Службой рассчитан экономически обоснованный средний тариф на электрическую энергию, поставляемую потребителям Камчатского края, который в 2023 году составил 17,0659 руб./</w:t>
      </w:r>
      <w:proofErr w:type="spellStart"/>
      <w:r w:rsidRPr="00802AEF">
        <w:rPr>
          <w:sz w:val="28"/>
          <w:szCs w:val="28"/>
        </w:rPr>
        <w:t>кВтч</w:t>
      </w:r>
      <w:proofErr w:type="spellEnd"/>
      <w:r w:rsidRPr="00802AEF">
        <w:rPr>
          <w:sz w:val="28"/>
          <w:szCs w:val="28"/>
        </w:rPr>
        <w:t xml:space="preserve"> (без НДС) </w:t>
      </w:r>
      <w:r w:rsidRPr="00796EC2"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2</w:t>
      </w:r>
      <w:r w:rsidRPr="00796EC2">
        <w:rPr>
          <w:sz w:val="28"/>
          <w:szCs w:val="28"/>
        </w:rPr>
        <w:t>).</w:t>
      </w:r>
    </w:p>
    <w:p w:rsidR="001B1308" w:rsidRPr="00796EC2" w:rsidRDefault="001B1308" w:rsidP="00B65784">
      <w:pPr>
        <w:widowControl w:val="0"/>
        <w:ind w:firstLine="709"/>
        <w:jc w:val="both"/>
        <w:rPr>
          <w:sz w:val="28"/>
          <w:szCs w:val="28"/>
        </w:rPr>
      </w:pPr>
      <w:r w:rsidRPr="00796EC2">
        <w:rPr>
          <w:sz w:val="28"/>
          <w:szCs w:val="28"/>
        </w:rPr>
        <w:t xml:space="preserve">В целях создания условий для социально-экономического развития региона, Правительством Камчатского края ежегодно, начиная с 2007 года, продолжается реализация мероприятий по исполнению п.1К) Перечня поручений Президента Российской Федерации В.В. Путина по итогам совещания по вопросам социально-экономического развития Камчатского края от 05.09.2007 № Пр-1680, а именно снижение отпускных тарифов на электрическую энергию для конечных потребителей (в том числе для населения), с компенсацией выпадающих доходов </w:t>
      </w:r>
      <w:proofErr w:type="spellStart"/>
      <w:r w:rsidRPr="00796EC2">
        <w:rPr>
          <w:sz w:val="28"/>
          <w:szCs w:val="28"/>
        </w:rPr>
        <w:t>энергоснабжающих</w:t>
      </w:r>
      <w:proofErr w:type="spellEnd"/>
      <w:r w:rsidRPr="00796EC2">
        <w:rPr>
          <w:sz w:val="28"/>
          <w:szCs w:val="28"/>
        </w:rPr>
        <w:t xml:space="preserve">  организаций региона за счет средств бюджета Камчатского края.</w:t>
      </w:r>
    </w:p>
    <w:p w:rsidR="00B050A9" w:rsidRPr="00B050A9" w:rsidRDefault="00B050A9" w:rsidP="00B050A9">
      <w:pPr>
        <w:widowControl w:val="0"/>
        <w:ind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Так Службой установлен льготный тариф для населения на весь 2023 год – 4,86 руб./</w:t>
      </w:r>
      <w:proofErr w:type="spellStart"/>
      <w:r w:rsidRPr="00B050A9">
        <w:rPr>
          <w:sz w:val="28"/>
          <w:szCs w:val="28"/>
        </w:rPr>
        <w:t>кВтч</w:t>
      </w:r>
      <w:proofErr w:type="spellEnd"/>
      <w:r w:rsidRPr="00B050A9">
        <w:rPr>
          <w:sz w:val="28"/>
          <w:szCs w:val="28"/>
        </w:rPr>
        <w:t xml:space="preserve"> (с НДС). </w:t>
      </w:r>
    </w:p>
    <w:p w:rsidR="00B050A9" w:rsidRPr="00B050A9" w:rsidRDefault="00B050A9" w:rsidP="00B050A9">
      <w:pPr>
        <w:widowControl w:val="0"/>
        <w:ind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Компенсация разницы стоимости электроэнергии между экономически обоснованными и сниженными тарифами для населения осуществляется из бюджета Камчатского края. Расчетный (прогнозный) объем компенсации на 2023 год составляет 6 860,252 млн. руб.</w:t>
      </w:r>
    </w:p>
    <w:p w:rsidR="00B050A9" w:rsidRPr="00B050A9" w:rsidRDefault="00B050A9" w:rsidP="00B050A9">
      <w:pPr>
        <w:widowControl w:val="0"/>
        <w:ind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В рамках исполнения поручений Президента Российской Федерации от 08.12.2015 № Пр-2508 (пункт 11), от 16.03.2016 № Пр-560 (пункт 1 в) в целях создания </w:t>
      </w:r>
      <w:r w:rsidRPr="00B050A9">
        <w:rPr>
          <w:sz w:val="28"/>
          <w:szCs w:val="28"/>
        </w:rPr>
        <w:lastRenderedPageBreak/>
        <w:t xml:space="preserve">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Федерации, в соответствии с постановлениями Правительства Российской Федерации от 28.07.2017 № 895 «О достижении на территориях Дальневосточного федерального округа базовых уровней цен (тарифов) на электрическую энергию (мощность)», от 26 ноября 2021 г. № 2062 «О критериях определения потребителей электрической энергии (мощности), не относящихся к населению и приравненным к нему категориям потребителей, в отношении которых на территориях Дальневосточного федерального округа осуществляется доведение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(мощность)» (далее – Критерии определения потребителей), распоряжением Правительства Российской Федерации от 28.12.2022 № 4295-р «О тарифах на электрическую энергию (мощность) для субъектов Российской Федерации, входящих в состав Дальневосточного федерального округа, на 2023 год», Службой утверждены тарифы на электрическую энергию на 2023 год, поставляемую: 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 электрической энергии (мощности), осуществляющим деятельность в границах территорий опережающего социально-экономического развития и Свободного порта Владивосток;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Потребителям, инвестиционные проекты которых отобраны в порядке, предусмотренном постановлением Правительства Российской Федерации от 16 октября 2014 г. № 1055 «Об утверждении методики отбора инвестиционных проектов, планируемых к реализации на территории Дальнего Востока», за исключением потребителей электрической энергии (мощности), предусмотренных пунктом 1 Критериев определения потребителей;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Промышленным потребителям электрической энергии (мощности), технологическое присоединение </w:t>
      </w:r>
      <w:proofErr w:type="spellStart"/>
      <w:r w:rsidRPr="00B050A9">
        <w:rPr>
          <w:sz w:val="28"/>
          <w:szCs w:val="28"/>
        </w:rPr>
        <w:t>энергопринимающих</w:t>
      </w:r>
      <w:proofErr w:type="spellEnd"/>
      <w:r w:rsidRPr="00B050A9">
        <w:rPr>
          <w:sz w:val="28"/>
          <w:szCs w:val="28"/>
        </w:rPr>
        <w:t xml:space="preserve"> устройств которых к электрическим сетям осуществлено на высоком, среднем первом и (или) среднем втором уровнях напряжения, реализующие инвестиционные проекты на территориях Дальневосточного федерального округа с ростом потребления электрической энергии более 10 процентов уровня к фактическому объему потребления электрической энергии за 2020 год, за исключением потребителей электрической энергии (мощности), предусмотренных пунктами 1 и 2 Критериев определения потребителей;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Субъектам малого и среднего предпринимательства, технологическое присоединение </w:t>
      </w:r>
      <w:proofErr w:type="spellStart"/>
      <w:r w:rsidRPr="00B050A9">
        <w:rPr>
          <w:sz w:val="28"/>
          <w:szCs w:val="28"/>
        </w:rPr>
        <w:t>энергопринимающих</w:t>
      </w:r>
      <w:proofErr w:type="spellEnd"/>
      <w:r w:rsidRPr="00B050A9">
        <w:rPr>
          <w:sz w:val="28"/>
          <w:szCs w:val="28"/>
        </w:rPr>
        <w:t xml:space="preserve"> устройств которых к электрическим сетям осуществлено на среднем первом и (или) среднем втором уровнях напряжения, за исключением потребителей электрической энергии (мощности), предусмотренных пунктами 1-</w:t>
      </w:r>
      <w:hyperlink w:anchor="Par2" w:history="1">
        <w:r w:rsidRPr="00B050A9">
          <w:rPr>
            <w:sz w:val="28"/>
            <w:szCs w:val="28"/>
          </w:rPr>
          <w:t>3</w:t>
        </w:r>
      </w:hyperlink>
      <w:r w:rsidRPr="00B050A9">
        <w:rPr>
          <w:sz w:val="28"/>
          <w:szCs w:val="28"/>
        </w:rPr>
        <w:t xml:space="preserve"> Критериев определения потребителей;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Потребителям электрической энергии (мощности), технологическое присоединение </w:t>
      </w:r>
      <w:proofErr w:type="spellStart"/>
      <w:r w:rsidRPr="00B050A9">
        <w:rPr>
          <w:sz w:val="28"/>
          <w:szCs w:val="28"/>
        </w:rPr>
        <w:t>энергопринимающих</w:t>
      </w:r>
      <w:proofErr w:type="spellEnd"/>
      <w:r w:rsidRPr="00B050A9">
        <w:rPr>
          <w:sz w:val="28"/>
          <w:szCs w:val="28"/>
        </w:rPr>
        <w:t xml:space="preserve"> устройств которых к электрическим сетям осуществлено на низком уровне напряжения, за исключением потребителей электрической энергии (мощности), предусмотренных пунктом 1 Критериев определения потребителей;</w:t>
      </w:r>
    </w:p>
    <w:p w:rsidR="00B050A9" w:rsidRDefault="00B050A9" w:rsidP="00B050A9">
      <w:pPr>
        <w:pStyle w:val="a5"/>
        <w:widowControl w:val="0"/>
        <w:ind w:left="1069"/>
        <w:jc w:val="right"/>
      </w:pPr>
    </w:p>
    <w:p w:rsidR="009C4704" w:rsidRPr="00B050A9" w:rsidRDefault="009C4704" w:rsidP="00B050A9">
      <w:pPr>
        <w:pStyle w:val="a5"/>
        <w:widowControl w:val="0"/>
        <w:ind w:left="1069"/>
        <w:jc w:val="right"/>
      </w:pPr>
    </w:p>
    <w:p w:rsidR="00B050A9" w:rsidRPr="00B050A9" w:rsidRDefault="00B050A9" w:rsidP="00B050A9">
      <w:pPr>
        <w:pStyle w:val="a5"/>
        <w:widowControl w:val="0"/>
        <w:ind w:left="1069"/>
        <w:jc w:val="right"/>
      </w:pPr>
      <w:r w:rsidRPr="00B050A9">
        <w:lastRenderedPageBreak/>
        <w:t>руб./</w:t>
      </w:r>
      <w:proofErr w:type="spellStart"/>
      <w:r w:rsidRPr="00B050A9">
        <w:t>кВтч</w:t>
      </w:r>
      <w:proofErr w:type="spellEnd"/>
      <w:r w:rsidRPr="00B050A9">
        <w:t xml:space="preserve"> (без НДС)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843"/>
        <w:gridCol w:w="1559"/>
      </w:tblGrid>
      <w:tr w:rsidR="00B050A9" w:rsidRPr="00B050A9" w:rsidTr="00B050A9">
        <w:trPr>
          <w:trHeight w:val="139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 1 декабря 2022 года по 31 декабря 2023 года</w:t>
            </w:r>
          </w:p>
        </w:tc>
      </w:tr>
      <w:tr w:rsidR="00B050A9" w:rsidRPr="00B050A9" w:rsidTr="00B050A9">
        <w:trPr>
          <w:trHeight w:val="259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ВН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СН-II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НН</w:t>
            </w:r>
          </w:p>
        </w:tc>
      </w:tr>
      <w:tr w:rsidR="00B050A9" w:rsidRPr="00B050A9" w:rsidTr="00B050A9">
        <w:trPr>
          <w:trHeight w:val="43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</w:pPr>
            <w:proofErr w:type="spellStart"/>
            <w:r w:rsidRPr="00B050A9">
              <w:t>Энергоснабжающие</w:t>
            </w:r>
            <w:proofErr w:type="spellEnd"/>
            <w:r w:rsidRPr="00B050A9">
              <w:t xml:space="preserve"> организации Камчатского края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6,31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6,41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6,68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6,96</w:t>
            </w:r>
          </w:p>
        </w:tc>
      </w:tr>
    </w:tbl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60"/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 электрической энергии (мощности), финансирование деятельности которых осуществляется за счет средств бюджетов бюджетной системы Российской Федерации, в отношении которых поэтапно в течение 5 лет сокращается разница между ценами (тарифами) на электрическую энергию (мощность) и базовыми уровнями цен (тарифов) на электрическую энергию (мощность);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 электрической энергии (мощности), относящиеся к организациям жилищно-коммунального хозяйства, в отношении которых поэтапно в течение 5 лет сокращается разница между ценами (тарифами) на электрическую энергию (мощность);</w:t>
      </w:r>
    </w:p>
    <w:p w:rsidR="00B050A9" w:rsidRPr="00B050A9" w:rsidRDefault="00B050A9" w:rsidP="00B050A9">
      <w:pPr>
        <w:pStyle w:val="a5"/>
        <w:widowControl w:val="0"/>
        <w:ind w:left="1069"/>
        <w:jc w:val="right"/>
      </w:pPr>
      <w:r w:rsidRPr="00B050A9">
        <w:t>руб./</w:t>
      </w:r>
      <w:proofErr w:type="spellStart"/>
      <w:r w:rsidRPr="00B050A9">
        <w:t>кВтч</w:t>
      </w:r>
      <w:proofErr w:type="spellEnd"/>
      <w:r w:rsidRPr="00B050A9">
        <w:t xml:space="preserve"> (без НДС)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369"/>
        <w:gridCol w:w="1458"/>
        <w:gridCol w:w="1458"/>
        <w:gridCol w:w="1458"/>
        <w:gridCol w:w="1458"/>
      </w:tblGrid>
      <w:tr w:rsidR="00B050A9" w:rsidRPr="00B050A9" w:rsidTr="00D65BBF">
        <w:trPr>
          <w:trHeight w:val="30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proofErr w:type="spellStart"/>
            <w:r w:rsidRPr="00B050A9">
              <w:t>Энергоснабжающая</w:t>
            </w:r>
            <w:proofErr w:type="spellEnd"/>
            <w:r w:rsidRPr="00B050A9">
              <w:t xml:space="preserve"> организация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 1 декабря 2022 года по 31 декабря 2023 года</w:t>
            </w:r>
          </w:p>
        </w:tc>
      </w:tr>
      <w:tr w:rsidR="00B050A9" w:rsidRPr="00B050A9" w:rsidTr="00D65BBF">
        <w:trPr>
          <w:trHeight w:val="16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НН</w:t>
            </w:r>
          </w:p>
        </w:tc>
      </w:tr>
      <w:tr w:rsidR="00B050A9" w:rsidRPr="00B050A9" w:rsidTr="00D65BBF">
        <w:trPr>
          <w:trHeight w:val="4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(Центральный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8,58</w:t>
            </w:r>
          </w:p>
        </w:tc>
      </w:tr>
      <w:tr w:rsidR="00B050A9" w:rsidRPr="00B050A9" w:rsidTr="00D65BBF">
        <w:trPr>
          <w:trHeight w:val="4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(Озерновский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9,62</w:t>
            </w:r>
          </w:p>
        </w:tc>
      </w:tr>
      <w:tr w:rsidR="00B050A9" w:rsidRPr="00B050A9" w:rsidTr="00D65BBF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«ЮЭСК»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13,38</w:t>
            </w:r>
          </w:p>
        </w:tc>
      </w:tr>
      <w:tr w:rsidR="00B050A9" w:rsidRPr="00B050A9" w:rsidTr="00D65BBF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</w:t>
            </w:r>
            <w:proofErr w:type="spellStart"/>
            <w:r w:rsidRPr="00D65BBF">
              <w:t>Корякэнерго</w:t>
            </w:r>
            <w:proofErr w:type="spellEnd"/>
            <w:r w:rsidRPr="00D65BB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11,74</w:t>
            </w:r>
          </w:p>
        </w:tc>
      </w:tr>
      <w:tr w:rsidR="00B050A9" w:rsidRPr="00B050A9" w:rsidTr="00D65BBF">
        <w:trPr>
          <w:trHeight w:val="1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>ООО «Колхоз Ударник»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10,87</w:t>
            </w:r>
          </w:p>
        </w:tc>
      </w:tr>
      <w:tr w:rsidR="00B050A9" w:rsidRPr="00B050A9" w:rsidTr="00D65BBF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ООО «ЭСИ»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13,55</w:t>
            </w:r>
          </w:p>
        </w:tc>
      </w:tr>
      <w:tr w:rsidR="00B050A9" w:rsidRPr="00B050A9" w:rsidTr="00D65BBF">
        <w:trPr>
          <w:trHeight w:val="228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ООО «Оссора»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center"/>
            </w:pPr>
            <w:r w:rsidRPr="00D65BBF">
              <w:t>14,67</w:t>
            </w:r>
          </w:p>
        </w:tc>
      </w:tr>
    </w:tbl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60"/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 электрической энергии (мощности), относящиеся к организациям топливно-энергетического комплекса, в отношении которых поэтапно в течение 3 лет сокращается разница между ценами (тарифами) на электрическую энергию (мощность) и базовыми уровнями цен (тарифов) на электрическую энергию (мощность);</w:t>
      </w:r>
    </w:p>
    <w:p w:rsidR="00B050A9" w:rsidRPr="00B050A9" w:rsidRDefault="00B050A9" w:rsidP="00B050A9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Потребителям электрической энергии (мощности), осуществляющие деятельность в области добычи, производства, использования и обращения драгоценных металлов и драгоценных камней, в отношении которых поэтапно в течение 3 лет сокращается разница между ценами (тарифами) на электрическую энергию (мощность) и базовыми уровнями цен (тарифов) на электрическую энергию (мощность).</w:t>
      </w:r>
    </w:p>
    <w:p w:rsidR="00B050A9" w:rsidRPr="00B050A9" w:rsidRDefault="00B050A9" w:rsidP="00B050A9">
      <w:pPr>
        <w:pStyle w:val="a5"/>
        <w:widowControl w:val="0"/>
        <w:ind w:left="1069"/>
        <w:jc w:val="right"/>
      </w:pPr>
      <w:r w:rsidRPr="00B050A9">
        <w:t>руб./</w:t>
      </w:r>
      <w:proofErr w:type="spellStart"/>
      <w:r w:rsidRPr="00B050A9">
        <w:t>кВтч</w:t>
      </w:r>
      <w:proofErr w:type="spellEnd"/>
      <w:r w:rsidRPr="00B050A9">
        <w:t xml:space="preserve"> (без НДС)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460"/>
        <w:gridCol w:w="1150"/>
        <w:gridCol w:w="1150"/>
        <w:gridCol w:w="1150"/>
        <w:gridCol w:w="1150"/>
      </w:tblGrid>
      <w:tr w:rsidR="00B050A9" w:rsidRPr="00B050A9" w:rsidTr="00D65BBF">
        <w:trPr>
          <w:trHeight w:val="222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proofErr w:type="spellStart"/>
            <w:r w:rsidRPr="00B050A9">
              <w:t>Энергоснабжающая</w:t>
            </w:r>
            <w:proofErr w:type="spellEnd"/>
            <w:r w:rsidRPr="00B050A9">
              <w:t xml:space="preserve"> организация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D2ED2">
              <w:rPr>
                <w:sz w:val="22"/>
              </w:rPr>
              <w:t>с 1 декабря 2022 года по 31 декабря 2023 года</w:t>
            </w:r>
          </w:p>
        </w:tc>
      </w:tr>
      <w:tr w:rsidR="00B050A9" w:rsidRPr="00B050A9" w:rsidTr="00D65BBF">
        <w:trPr>
          <w:trHeight w:val="250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ВН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НН</w:t>
            </w:r>
          </w:p>
        </w:tc>
      </w:tr>
      <w:tr w:rsidR="00B050A9" w:rsidRPr="00B050A9" w:rsidTr="00D65BBF">
        <w:trPr>
          <w:trHeight w:val="161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(Центральный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  <w:rPr>
                <w:bCs/>
              </w:rPr>
            </w:pPr>
            <w:r w:rsidRPr="00D65BBF">
              <w:rPr>
                <w:bCs/>
              </w:rPr>
              <w:t>7,27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  <w:rPr>
                <w:bCs/>
              </w:rPr>
            </w:pPr>
            <w:r w:rsidRPr="00D65BBF">
              <w:rPr>
                <w:bCs/>
              </w:rPr>
              <w:t>8,12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  <w:rPr>
                <w:bCs/>
              </w:rPr>
            </w:pPr>
            <w:r w:rsidRPr="00D65BBF">
              <w:rPr>
                <w:bCs/>
              </w:rPr>
              <w:t>8,59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  <w:rPr>
                <w:bCs/>
              </w:rPr>
            </w:pPr>
            <w:r w:rsidRPr="00D65BBF">
              <w:rPr>
                <w:bCs/>
              </w:rPr>
              <w:t>10,33</w:t>
            </w:r>
          </w:p>
        </w:tc>
      </w:tr>
      <w:tr w:rsidR="00B050A9" w:rsidRPr="00B050A9" w:rsidTr="00D65BBF">
        <w:trPr>
          <w:trHeight w:val="180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(Озерновский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13,53</w:t>
            </w:r>
          </w:p>
        </w:tc>
      </w:tr>
      <w:tr w:rsidR="00B050A9" w:rsidRPr="00B050A9" w:rsidTr="00D65BBF">
        <w:trPr>
          <w:trHeight w:val="70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«ЮЭСК»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20,57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20,96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21,36</w:t>
            </w:r>
          </w:p>
        </w:tc>
      </w:tr>
      <w:tr w:rsidR="00B050A9" w:rsidRPr="00B050A9" w:rsidTr="00D65BBF">
        <w:trPr>
          <w:trHeight w:val="248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</w:t>
            </w:r>
            <w:proofErr w:type="spellStart"/>
            <w:r w:rsidRPr="00D65BBF">
              <w:t>Корякэнерго</w:t>
            </w:r>
            <w:proofErr w:type="spellEnd"/>
            <w:r w:rsidRPr="00D65BBF"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17,81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17,95</w:t>
            </w:r>
          </w:p>
        </w:tc>
      </w:tr>
      <w:tr w:rsidR="00B050A9" w:rsidRPr="00B050A9" w:rsidTr="00D65BBF">
        <w:trPr>
          <w:trHeight w:val="277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>ООО «Колхоз Ударник»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16,14</w:t>
            </w:r>
          </w:p>
        </w:tc>
      </w:tr>
      <w:tr w:rsidR="00B050A9" w:rsidRPr="00B050A9" w:rsidTr="00D65BBF">
        <w:trPr>
          <w:trHeight w:val="248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ООО «ЭСИ»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  <w:r w:rsidRPr="00D65BBF">
              <w:t>21,71</w:t>
            </w:r>
          </w:p>
        </w:tc>
      </w:tr>
      <w:tr w:rsidR="00B050A9" w:rsidRPr="00B050A9" w:rsidTr="00D65BBF">
        <w:trPr>
          <w:trHeight w:val="217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lastRenderedPageBreak/>
              <w:t>ООО «Оссора»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  <w:r w:rsidRPr="00D65BBF">
              <w:t>24,06</w:t>
            </w:r>
          </w:p>
        </w:tc>
      </w:tr>
    </w:tbl>
    <w:p w:rsidR="00B050A9" w:rsidRPr="00B050A9" w:rsidRDefault="00B050A9" w:rsidP="00B050A9">
      <w:pPr>
        <w:widowControl w:val="0"/>
        <w:spacing w:before="160"/>
        <w:ind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>Тарифы утверждены с дифференциацией по уровням напряжения с учетом поэтапного сокращения разницы между ценами (тарифами) на электрическую энергию (мощность) и базовыми уровнями цен (тарифов) на электрическую энергию (мощность), в рамках исполнения пункта 1 статьи 21 Федерального закона от 26.03.2003 № 35-ФЗ «Об электроэнергетике».</w:t>
      </w:r>
    </w:p>
    <w:p w:rsidR="00B050A9" w:rsidRPr="00B050A9" w:rsidRDefault="00B050A9" w:rsidP="00B050A9">
      <w:pPr>
        <w:widowControl w:val="0"/>
        <w:ind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Для потребителей, не попавших ни в одну из групп, определенных Критериями определения потребителей, с 01 января 2022 года применяются экономически обоснованные тарифы, определенные для </w:t>
      </w:r>
      <w:proofErr w:type="spellStart"/>
      <w:r w:rsidRPr="00B050A9">
        <w:rPr>
          <w:sz w:val="28"/>
          <w:szCs w:val="28"/>
        </w:rPr>
        <w:t>энергоснабжающей</w:t>
      </w:r>
      <w:proofErr w:type="spellEnd"/>
      <w:r w:rsidRPr="00B050A9">
        <w:rPr>
          <w:sz w:val="28"/>
          <w:szCs w:val="28"/>
        </w:rPr>
        <w:t xml:space="preserve"> организации на соответствующей территории.</w:t>
      </w:r>
    </w:p>
    <w:p w:rsidR="00B050A9" w:rsidRPr="00B050A9" w:rsidRDefault="00B050A9" w:rsidP="00B050A9">
      <w:pPr>
        <w:pStyle w:val="a5"/>
        <w:widowControl w:val="0"/>
        <w:ind w:left="1069"/>
        <w:jc w:val="right"/>
      </w:pPr>
      <w:r w:rsidRPr="00B050A9">
        <w:t>руб./</w:t>
      </w:r>
      <w:proofErr w:type="spellStart"/>
      <w:r w:rsidRPr="00B050A9">
        <w:t>кВтч</w:t>
      </w:r>
      <w:proofErr w:type="spellEnd"/>
      <w:r w:rsidRPr="00B050A9">
        <w:t xml:space="preserve"> (без НДС)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580"/>
        <w:gridCol w:w="1120"/>
        <w:gridCol w:w="1120"/>
        <w:gridCol w:w="1120"/>
        <w:gridCol w:w="1120"/>
      </w:tblGrid>
      <w:tr w:rsidR="00B050A9" w:rsidRPr="00B050A9" w:rsidTr="00D65BBF">
        <w:trPr>
          <w:trHeight w:val="440"/>
        </w:trPr>
        <w:tc>
          <w:tcPr>
            <w:tcW w:w="5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proofErr w:type="spellStart"/>
            <w:r w:rsidRPr="00B050A9">
              <w:t>Энергоснабжающая</w:t>
            </w:r>
            <w:proofErr w:type="spellEnd"/>
            <w:r w:rsidRPr="00B050A9">
              <w:t xml:space="preserve"> организация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 1 декабря 2022 года по 31 декабря 2023 года</w:t>
            </w:r>
          </w:p>
        </w:tc>
      </w:tr>
      <w:tr w:rsidR="00B050A9" w:rsidRPr="00B050A9" w:rsidTr="00D65BBF">
        <w:trPr>
          <w:trHeight w:val="296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ВН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СН-II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9" w:rsidRPr="00B050A9" w:rsidRDefault="00B050A9" w:rsidP="00B050A9">
            <w:pPr>
              <w:widowControl w:val="0"/>
              <w:jc w:val="center"/>
            </w:pPr>
            <w:r w:rsidRPr="00B050A9">
              <w:t>НН</w:t>
            </w:r>
          </w:p>
        </w:tc>
      </w:tr>
      <w:tr w:rsidR="00B050A9" w:rsidRPr="00B050A9" w:rsidTr="00D65BBF">
        <w:trPr>
          <w:trHeight w:val="249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(Центральный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8,235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9,834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10,793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</w:pPr>
            <w:r w:rsidRPr="00D65BBF">
              <w:t>14,255</w:t>
            </w:r>
          </w:p>
        </w:tc>
      </w:tr>
      <w:tr w:rsidR="00B050A9" w:rsidRPr="00B050A9" w:rsidTr="00D65BBF">
        <w:trPr>
          <w:trHeight w:val="267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 xml:space="preserve">ПАО «Камчатскэнерго» (Озерновский </w:t>
            </w:r>
            <w:proofErr w:type="spellStart"/>
            <w:r w:rsidRPr="00D65BBF">
              <w:t>энергоузел</w:t>
            </w:r>
            <w:proofErr w:type="spellEnd"/>
            <w:r w:rsidRPr="00D65BBF"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24,217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24,357</w:t>
            </w:r>
          </w:p>
        </w:tc>
      </w:tr>
      <w:tr w:rsidR="00B050A9" w:rsidRPr="00B050A9" w:rsidTr="00D65BBF">
        <w:trPr>
          <w:trHeight w:val="206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«ЮЭСК»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  <w:r w:rsidRPr="00D65BBF">
              <w:t>41,203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  <w:r w:rsidRPr="00D65BBF">
              <w:t>41,841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  <w:r w:rsidRPr="00D65BBF">
              <w:t>42,480</w:t>
            </w:r>
          </w:p>
        </w:tc>
      </w:tr>
      <w:tr w:rsidR="00B050A9" w:rsidRPr="00B050A9" w:rsidTr="00D65BBF">
        <w:trPr>
          <w:trHeight w:val="122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АО «</w:t>
            </w:r>
            <w:proofErr w:type="spellStart"/>
            <w:r w:rsidRPr="00D65BBF">
              <w:t>Корякэнерго</w:t>
            </w:r>
            <w:proofErr w:type="spellEnd"/>
            <w:r w:rsidRPr="00D65BBF"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34,541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34,585</w:t>
            </w:r>
          </w:p>
        </w:tc>
      </w:tr>
      <w:tr w:rsidR="00B050A9" w:rsidRPr="00B050A9" w:rsidTr="00D65BBF">
        <w:trPr>
          <w:trHeight w:val="260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</w:pPr>
            <w:r w:rsidRPr="00D65BBF">
              <w:t>ООО «Колхоз Ударник»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BBF">
              <w:rPr>
                <w:rFonts w:ascii="Times New Roman" w:hAnsi="Times New Roman" w:cs="Times New Roman"/>
              </w:rPr>
              <w:t>30,404</w:t>
            </w:r>
          </w:p>
        </w:tc>
      </w:tr>
      <w:tr w:rsidR="00B050A9" w:rsidRPr="00B050A9" w:rsidTr="00D65BBF">
        <w:trPr>
          <w:trHeight w:val="256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ООО «ЭСИ»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jc w:val="center"/>
              <w:rPr>
                <w:color w:val="000000"/>
              </w:rPr>
            </w:pPr>
            <w:r w:rsidRPr="00D65BBF">
              <w:rPr>
                <w:color w:val="000000"/>
              </w:rPr>
              <w:t>43,294</w:t>
            </w:r>
          </w:p>
        </w:tc>
      </w:tr>
      <w:tr w:rsidR="00B050A9" w:rsidRPr="00B050A9" w:rsidTr="00D65BBF">
        <w:trPr>
          <w:trHeight w:val="252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widowControl w:val="0"/>
              <w:jc w:val="both"/>
            </w:pPr>
            <w:r w:rsidRPr="00D65BBF">
              <w:t>ООО «Оссора»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0A9" w:rsidRPr="00D65BBF" w:rsidRDefault="00B050A9" w:rsidP="00B050A9">
            <w:pPr>
              <w:autoSpaceDE w:val="0"/>
              <w:autoSpaceDN w:val="0"/>
              <w:jc w:val="center"/>
            </w:pPr>
            <w:r w:rsidRPr="00D65BBF">
              <w:t>48,729</w:t>
            </w:r>
          </w:p>
        </w:tc>
      </w:tr>
    </w:tbl>
    <w:p w:rsidR="00B050A9" w:rsidRPr="00B050A9" w:rsidRDefault="00B050A9" w:rsidP="00B050A9">
      <w:pPr>
        <w:spacing w:before="160"/>
        <w:ind w:right="125" w:firstLine="709"/>
        <w:jc w:val="both"/>
        <w:rPr>
          <w:sz w:val="28"/>
          <w:szCs w:val="28"/>
        </w:rPr>
      </w:pPr>
      <w:r w:rsidRPr="00B050A9">
        <w:rPr>
          <w:sz w:val="28"/>
          <w:szCs w:val="28"/>
        </w:rPr>
        <w:t xml:space="preserve">Компенсация выпадающих доходов </w:t>
      </w:r>
      <w:proofErr w:type="spellStart"/>
      <w:r w:rsidRPr="00B050A9">
        <w:rPr>
          <w:sz w:val="28"/>
          <w:szCs w:val="28"/>
        </w:rPr>
        <w:t>энергоснабжающих</w:t>
      </w:r>
      <w:proofErr w:type="spellEnd"/>
      <w:r w:rsidRPr="00B050A9">
        <w:rPr>
          <w:sz w:val="28"/>
          <w:szCs w:val="28"/>
        </w:rPr>
        <w:t xml:space="preserve"> организаций Камчатского края от поставки электрической энергии (мощности) потребителям категории «прочие потребители» производится за счет средств целевой субсидии, направляемой ПАО «</w:t>
      </w:r>
      <w:proofErr w:type="spellStart"/>
      <w:r w:rsidRPr="00B050A9">
        <w:rPr>
          <w:sz w:val="28"/>
          <w:szCs w:val="28"/>
        </w:rPr>
        <w:t>РусГидро</w:t>
      </w:r>
      <w:proofErr w:type="spellEnd"/>
      <w:r w:rsidRPr="00B050A9">
        <w:rPr>
          <w:sz w:val="28"/>
          <w:szCs w:val="28"/>
        </w:rPr>
        <w:t>» в бюджет Камчатского края на безвозмездной основе. Расчетный размер компенсации на 2023 год составляет 9 502,390 млн. руб.</w:t>
      </w:r>
    </w:p>
    <w:p w:rsidR="00B050A9" w:rsidRDefault="00B050A9" w:rsidP="00B65784">
      <w:pPr>
        <w:widowControl w:val="0"/>
        <w:ind w:firstLine="709"/>
        <w:jc w:val="both"/>
        <w:rPr>
          <w:sz w:val="28"/>
          <w:szCs w:val="28"/>
        </w:rPr>
      </w:pPr>
    </w:p>
    <w:p w:rsidR="00B050A9" w:rsidRDefault="00B050A9" w:rsidP="00B65784">
      <w:pPr>
        <w:widowControl w:val="0"/>
        <w:ind w:firstLine="709"/>
        <w:jc w:val="both"/>
        <w:rPr>
          <w:sz w:val="28"/>
          <w:szCs w:val="28"/>
        </w:rPr>
      </w:pPr>
    </w:p>
    <w:p w:rsidR="00B050A9" w:rsidRDefault="00B050A9" w:rsidP="00B65784">
      <w:pPr>
        <w:widowControl w:val="0"/>
        <w:ind w:firstLine="709"/>
        <w:jc w:val="both"/>
        <w:rPr>
          <w:sz w:val="28"/>
          <w:szCs w:val="28"/>
        </w:rPr>
      </w:pPr>
    </w:p>
    <w:sectPr w:rsidR="00B050A9" w:rsidSect="00D134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00A5"/>
    <w:multiLevelType w:val="hybridMultilevel"/>
    <w:tmpl w:val="D3E2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6"/>
    <w:rsid w:val="00077F1C"/>
    <w:rsid w:val="001A3824"/>
    <w:rsid w:val="001B1308"/>
    <w:rsid w:val="001C18B4"/>
    <w:rsid w:val="001F0F4D"/>
    <w:rsid w:val="0021230D"/>
    <w:rsid w:val="002E4B79"/>
    <w:rsid w:val="002F6F2D"/>
    <w:rsid w:val="003D26EF"/>
    <w:rsid w:val="0046134E"/>
    <w:rsid w:val="004F0143"/>
    <w:rsid w:val="005666F9"/>
    <w:rsid w:val="005B5C82"/>
    <w:rsid w:val="00614F4C"/>
    <w:rsid w:val="00697290"/>
    <w:rsid w:val="006E356A"/>
    <w:rsid w:val="00796EC2"/>
    <w:rsid w:val="00802AEF"/>
    <w:rsid w:val="00823426"/>
    <w:rsid w:val="0085164E"/>
    <w:rsid w:val="00877F31"/>
    <w:rsid w:val="00894902"/>
    <w:rsid w:val="008D0F3E"/>
    <w:rsid w:val="008E37CE"/>
    <w:rsid w:val="009C4704"/>
    <w:rsid w:val="009D3074"/>
    <w:rsid w:val="009F3656"/>
    <w:rsid w:val="00A6619A"/>
    <w:rsid w:val="00A8133A"/>
    <w:rsid w:val="00A83D3B"/>
    <w:rsid w:val="00AE2712"/>
    <w:rsid w:val="00B050A9"/>
    <w:rsid w:val="00B65784"/>
    <w:rsid w:val="00BD2ED2"/>
    <w:rsid w:val="00C201FA"/>
    <w:rsid w:val="00C85C77"/>
    <w:rsid w:val="00CD5597"/>
    <w:rsid w:val="00CE5289"/>
    <w:rsid w:val="00D13495"/>
    <w:rsid w:val="00D1717B"/>
    <w:rsid w:val="00D65BBF"/>
    <w:rsid w:val="00D66A36"/>
    <w:rsid w:val="00E76418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22EF"/>
  <w15:chartTrackingRefBased/>
  <w15:docId w15:val="{EFB21EC8-031B-4478-A2C0-9E10F74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F57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5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0A9"/>
    <w:pPr>
      <w:ind w:left="720"/>
      <w:contextualSpacing/>
    </w:pPr>
  </w:style>
  <w:style w:type="paragraph" w:customStyle="1" w:styleId="ConsPlusCell">
    <w:name w:val="ConsPlusCell"/>
    <w:rsid w:val="00B05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8D0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mgov.ru/sltarif/v-sfere-elektroenergetiki/informacia-o-territorialnyh-setevyh-organizaci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Кулик Альбина Федоровна</cp:lastModifiedBy>
  <cp:revision>19</cp:revision>
  <dcterms:created xsi:type="dcterms:W3CDTF">2021-01-28T23:21:00Z</dcterms:created>
  <dcterms:modified xsi:type="dcterms:W3CDTF">2024-01-31T02:21:00Z</dcterms:modified>
</cp:coreProperties>
</file>