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BF59E3" w:rsidP="00BF59E3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установлении предельных (мак</w:t>
            </w:r>
            <w:r w:rsidRPr="00BF59E3">
              <w:rPr>
                <w:rFonts w:ascii="Times New Roman" w:hAnsi="Times New Roman"/>
                <w:b/>
                <w:sz w:val="28"/>
              </w:rPr>
              <w:t>си</w:t>
            </w:r>
            <w:r>
              <w:rPr>
                <w:rFonts w:ascii="Times New Roman" w:hAnsi="Times New Roman"/>
                <w:b/>
                <w:sz w:val="28"/>
              </w:rPr>
              <w:t>мальных) индексов изменения раз</w:t>
            </w:r>
            <w:r w:rsidRPr="00BF59E3">
              <w:rPr>
                <w:rFonts w:ascii="Times New Roman" w:hAnsi="Times New Roman"/>
                <w:b/>
                <w:sz w:val="28"/>
              </w:rPr>
              <w:t xml:space="preserve">мера вносимой гражданами платы за коммунальные услуги в муниципальных образованиях в Камчатском крае на </w:t>
            </w:r>
            <w:r>
              <w:rPr>
                <w:rFonts w:ascii="Times New Roman" w:hAnsi="Times New Roman"/>
                <w:b/>
                <w:sz w:val="28"/>
              </w:rPr>
              <w:t>2024-2028</w:t>
            </w:r>
            <w:r w:rsidRPr="00BF59E3">
              <w:rPr>
                <w:rFonts w:ascii="Times New Roman" w:hAnsi="Times New Roman"/>
                <w:b/>
                <w:sz w:val="28"/>
              </w:rPr>
              <w:t xml:space="preserve"> годы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BF59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59E3">
        <w:rPr>
          <w:rFonts w:ascii="Times New Roman" w:hAnsi="Times New Roman"/>
          <w:sz w:val="28"/>
        </w:rPr>
        <w:t xml:space="preserve">В соответствии со статьей 157(1) </w:t>
      </w:r>
      <w:r>
        <w:rPr>
          <w:rFonts w:ascii="Times New Roman" w:hAnsi="Times New Roman"/>
          <w:sz w:val="28"/>
        </w:rPr>
        <w:t>Жилищного кодекса Российской Фе</w:t>
      </w:r>
      <w:r w:rsidRPr="00BF59E3">
        <w:rPr>
          <w:rFonts w:ascii="Times New Roman" w:hAnsi="Times New Roman"/>
          <w:sz w:val="28"/>
        </w:rPr>
        <w:t>дерации, 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Распоряжением Правительства Российской Федерации от 1</w:t>
      </w:r>
      <w:r>
        <w:rPr>
          <w:rFonts w:ascii="Times New Roman" w:hAnsi="Times New Roman"/>
          <w:sz w:val="28"/>
        </w:rPr>
        <w:t>0.11.2023 №</w:t>
      </w:r>
      <w:r w:rsidRPr="00BF59E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3147</w:t>
      </w:r>
      <w:r w:rsidRPr="00BF59E3">
        <w:rPr>
          <w:rFonts w:ascii="Times New Roman" w:hAnsi="Times New Roman"/>
          <w:sz w:val="28"/>
        </w:rPr>
        <w:t>-р</w:t>
      </w:r>
    </w:p>
    <w:p w:rsidR="00BF59E3" w:rsidRDefault="00BF59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F59E3" w:rsidRPr="00BF59E3" w:rsidRDefault="00BF59E3" w:rsidP="00BF59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59E3">
        <w:rPr>
          <w:rFonts w:ascii="Times New Roman" w:hAnsi="Times New Roman"/>
          <w:sz w:val="28"/>
        </w:rPr>
        <w:t>1. Установить предельные (максимальные) индексы изменения размера вносимой гражданами платы за коммуна</w:t>
      </w:r>
      <w:r>
        <w:rPr>
          <w:rFonts w:ascii="Times New Roman" w:hAnsi="Times New Roman"/>
          <w:sz w:val="28"/>
        </w:rPr>
        <w:t>льные услуги в муниципальных об</w:t>
      </w:r>
      <w:r w:rsidRPr="00BF59E3">
        <w:rPr>
          <w:rFonts w:ascii="Times New Roman" w:hAnsi="Times New Roman"/>
          <w:sz w:val="28"/>
        </w:rPr>
        <w:t xml:space="preserve">разованиях в Камчатском крае на </w:t>
      </w:r>
      <w:r>
        <w:rPr>
          <w:rFonts w:ascii="Times New Roman" w:hAnsi="Times New Roman"/>
          <w:sz w:val="28"/>
        </w:rPr>
        <w:t>2024-2028</w:t>
      </w:r>
      <w:r w:rsidRPr="00BF59E3">
        <w:rPr>
          <w:rFonts w:ascii="Times New Roman" w:hAnsi="Times New Roman"/>
          <w:sz w:val="28"/>
        </w:rPr>
        <w:t xml:space="preserve"> годы согласно приложению 1.</w:t>
      </w:r>
    </w:p>
    <w:p w:rsidR="00BF59E3" w:rsidRPr="00BF59E3" w:rsidRDefault="00BF59E3" w:rsidP="00BF59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59E3">
        <w:rPr>
          <w:rFonts w:ascii="Times New Roman" w:hAnsi="Times New Roman"/>
          <w:sz w:val="28"/>
        </w:rPr>
        <w:t>2. Утвердить обоснование величины установленных пред</w:t>
      </w:r>
      <w:r>
        <w:rPr>
          <w:rFonts w:ascii="Times New Roman" w:hAnsi="Times New Roman"/>
          <w:sz w:val="28"/>
        </w:rPr>
        <w:t>ельных (мак</w:t>
      </w:r>
      <w:r w:rsidRPr="00BF59E3">
        <w:rPr>
          <w:rFonts w:ascii="Times New Roman" w:hAnsi="Times New Roman"/>
          <w:sz w:val="28"/>
        </w:rPr>
        <w:t>симальных) индексов изменения размера вносимой гражданами платы за коммунальные услуги в муниципальных образованиях в Камчатском крае на 20</w:t>
      </w:r>
      <w:r>
        <w:rPr>
          <w:rFonts w:ascii="Times New Roman" w:hAnsi="Times New Roman"/>
          <w:sz w:val="28"/>
        </w:rPr>
        <w:t>24</w:t>
      </w:r>
      <w:r w:rsidRPr="00BF59E3">
        <w:rPr>
          <w:rFonts w:ascii="Times New Roman" w:hAnsi="Times New Roman"/>
          <w:sz w:val="28"/>
        </w:rPr>
        <w:t xml:space="preserve"> год согласно приложению 2.</w:t>
      </w:r>
    </w:p>
    <w:p w:rsidR="00405498" w:rsidRDefault="00BF59E3" w:rsidP="00BF59E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59E3">
        <w:rPr>
          <w:rFonts w:ascii="Times New Roman" w:hAnsi="Times New Roman"/>
          <w:sz w:val="28"/>
        </w:rPr>
        <w:t>3.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</w:t>
      </w:r>
      <w:r>
        <w:rPr>
          <w:rFonts w:ascii="Times New Roman" w:hAnsi="Times New Roman"/>
          <w:sz w:val="28"/>
        </w:rPr>
        <w:t>24</w:t>
      </w:r>
      <w:r w:rsidRPr="00BF59E3">
        <w:rPr>
          <w:rFonts w:ascii="Times New Roman" w:hAnsi="Times New Roman"/>
          <w:sz w:val="28"/>
        </w:rPr>
        <w:t xml:space="preserve"> года.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D0D16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405498" w:rsidRDefault="00405498">
      <w:pPr>
        <w:rPr>
          <w:rFonts w:ascii="Times New Roman" w:hAnsi="Times New Roman"/>
          <w:sz w:val="24"/>
        </w:rPr>
      </w:pPr>
    </w:p>
    <w:p w:rsidR="001D0D16" w:rsidRDefault="001D0D16" w:rsidP="001D0D1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D0D16">
        <w:rPr>
          <w:rFonts w:ascii="Times New Roman" w:hAnsi="Times New Roman"/>
          <w:sz w:val="28"/>
        </w:rPr>
        <w:t>Предельные (максимальные) индексы изменения размера вносимой гражданами платы за коммунальные услуги в муниципа</w:t>
      </w:r>
      <w:r>
        <w:rPr>
          <w:rFonts w:ascii="Times New Roman" w:hAnsi="Times New Roman"/>
          <w:sz w:val="28"/>
        </w:rPr>
        <w:t>льных образованиях в Камчатском </w:t>
      </w:r>
      <w:r w:rsidRPr="001D0D16">
        <w:rPr>
          <w:rFonts w:ascii="Times New Roman" w:hAnsi="Times New Roman"/>
          <w:sz w:val="28"/>
        </w:rPr>
        <w:t>крае на 20</w:t>
      </w:r>
      <w:r>
        <w:rPr>
          <w:rFonts w:ascii="Times New Roman" w:hAnsi="Times New Roman"/>
          <w:sz w:val="28"/>
        </w:rPr>
        <w:t>24-2028 годы</w:t>
      </w:r>
    </w:p>
    <w:p w:rsidR="001D0D16" w:rsidRDefault="001D0D16" w:rsidP="001D0D1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7"/>
        <w:gridCol w:w="3133"/>
        <w:gridCol w:w="2443"/>
        <w:gridCol w:w="3264"/>
      </w:tblGrid>
      <w:tr w:rsidR="0000535F" w:rsidRPr="0000535F" w:rsidTr="0000535F">
        <w:trPr>
          <w:cantSplit/>
          <w:trHeight w:val="600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br/>
              <w:t>п/п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Муниципальное образование в Камчатском крае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Год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Предельные индексы, *, **, ***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Петропавловск-Камчатский городской округ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57017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Елизовский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Елизовское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Корякское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Начикинское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</m:t>
                    </m:r>
                    <m:r>
                      <w:rPr>
                        <w:rFonts w:ascii="Cambria Math" w:hAnsi="Cambria Math"/>
                        <w:szCs w:val="22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Николаевское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Новоавачинское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Новолесновское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2.7.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Паратунское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2.8.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Пионерское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2.9.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Раздольненское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2.10.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Вулканное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3.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Мильковский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3.1.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Атласовское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3.2.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Мильковское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Вилючинский городской округ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Усть-Большерецкий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Усть-Большерецкое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Озерновское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Ипц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  <w:lang w:val="en-US"/>
                      </w:rPr>
                      <m:t>g-1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Cs w:val="22"/>
                  </w:rPr>
                  <m:t>+L-∆+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2"/>
                      </w:rPr>
                      <m:t>тэр</m:t>
                    </m:r>
                  </m:sub>
                  <m:sup>
                    <m:r>
                      <w:rPr>
                        <w:rFonts w:ascii="Cambria Math" w:hAnsi="Cambria Math"/>
                        <w:szCs w:val="22"/>
                      </w:rPr>
                      <m:t>суб</m:t>
                    </m:r>
                  </m:sup>
                </m:sSubSup>
              </m:oMath>
            </m:oMathPara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Октябрьское городское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570179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Апачинское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5.5.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Запорожское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5.6.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Кавалерское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Соболевский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Крутогоровское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Соболевское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6.3.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Устьевое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Усть-Камчатский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Усть-Камчатское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Ключевское сельское поселение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7.3.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 xml:space="preserve">Козыревское сельское поселение 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8.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Быстринский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8.1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Эссовское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8.2.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Анавгайское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Алеутский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9.1.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Никольское сельское поселение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Пенжинский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10.1.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Аянка»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Каменское»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Манилы»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Слаутное»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10.5.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Таловка»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Карагинский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Городское поселение «поселок Оссора»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Ивашка»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Ильпырское»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Карага»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570179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Межселенные территории, входящие в состав территории Карагинского муниципального района, кроме территорий городского и сельских поселений, включая территорию упраздненного сельского поселения село Кострома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11.6.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Тымлат»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Олюторский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Апука»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Ачайваям»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Вывенка»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Средние Пахачи»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Тиличики»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Пахачи»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12.7.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Хаилино»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Городской округ «поселок Палана»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</w:t>
            </w:r>
          </w:p>
        </w:tc>
        <w:tc>
          <w:tcPr>
            <w:tcW w:w="4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Тигильский муниципальный район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14.1.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Воямполка»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14.2.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Ковран»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14.3.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Лесная»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14.4.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Седанка»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14.5.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Тигиль»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14.6.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Усть-Хайрюзово»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cantSplit/>
          <w:trHeight w:val="300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14.7.</w:t>
            </w:r>
          </w:p>
        </w:tc>
        <w:tc>
          <w:tcPr>
            <w:tcW w:w="16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 «село Хайрюзово»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января по 30 июня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с 1 июля по 31 декабря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9,6</w:t>
            </w:r>
          </w:p>
        </w:tc>
      </w:tr>
      <w:tr w:rsidR="0000535F" w:rsidRPr="0000535F" w:rsidTr="0000535F">
        <w:trPr>
          <w:trHeight w:val="300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00535F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0535F">
              <w:rPr>
                <w:rFonts w:ascii="Times New Roman" w:hAnsi="Times New Roman"/>
                <w:szCs w:val="22"/>
              </w:rPr>
              <w:t>2025-2028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35F" w:rsidRPr="0000535F" w:rsidRDefault="00B845F1" w:rsidP="0000535F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Ипц</m:t>
                  </m:r>
                </m:e>
                <m:sub>
                  <m:r>
                    <w:rPr>
                      <w:rFonts w:ascii="Cambria Math" w:hAnsi="Cambria Math"/>
                      <w:szCs w:val="2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Cs w:val="22"/>
                    </w:rPr>
                    <m:t>-1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g</m:t>
                  </m:r>
                </m:sub>
              </m:sSub>
              <m:r>
                <w:rPr>
                  <w:rFonts w:ascii="Cambria Math" w:hAnsi="Cambria Math"/>
                  <w:szCs w:val="22"/>
                </w:rPr>
                <m:t>+L-∆+</m:t>
              </m:r>
              <m:sSubSup>
                <m:sSubSup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2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тэр</m:t>
                  </m:r>
                </m:sub>
                <m:sup>
                  <m:r>
                    <w:rPr>
                      <w:rFonts w:ascii="Cambria Math" w:hAnsi="Cambria Math"/>
                      <w:szCs w:val="22"/>
                    </w:rPr>
                    <m:t>суб</m:t>
                  </m:r>
                </m:sup>
              </m:sSubSup>
            </m:oMath>
            <w:r w:rsidR="0000535F" w:rsidRPr="0000535F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:rsidR="000559F1" w:rsidRDefault="000559F1" w:rsidP="000559F1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Calibri" w:hAnsi="Times New Roman"/>
          <w:sz w:val="24"/>
          <w:lang w:eastAsia="en-US"/>
        </w:rPr>
      </w:pPr>
      <w:r w:rsidRPr="00E31BF1">
        <w:rPr>
          <w:rFonts w:ascii="Times New Roman" w:eastAsia="Calibri" w:hAnsi="Times New Roman"/>
          <w:sz w:val="24"/>
          <w:lang w:eastAsia="en-US"/>
        </w:rPr>
        <w:t xml:space="preserve">* 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Изменение (прирост) размера вносимой гражданами платы за коммунальные услуги в среднем по всем муниципальным образованиям в Камчатском крае не может превышать индекс изменения размера вносимой гражданами платы за коммунальные услуги в среднем </w:t>
      </w:r>
      <w:r w:rsidRPr="00E31BF1">
        <w:rPr>
          <w:rFonts w:ascii="Times New Roman" w:eastAsia="Calibri" w:hAnsi="Times New Roman"/>
          <w:sz w:val="24"/>
          <w:lang w:eastAsia="en-US"/>
        </w:rPr>
        <w:t>по Камчатскому краю;</w:t>
      </w:r>
    </w:p>
    <w:p w:rsidR="000559F1" w:rsidRPr="00E31BF1" w:rsidRDefault="000559F1" w:rsidP="00055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2"/>
          <w:lang w:eastAsia="en-US"/>
        </w:rPr>
      </w:pPr>
      <w:r w:rsidRPr="00E31BF1">
        <w:rPr>
          <w:rFonts w:ascii="Times New Roman" w:eastAsia="Calibri" w:hAnsi="Times New Roman"/>
          <w:sz w:val="24"/>
          <w:lang w:eastAsia="en-US"/>
        </w:rPr>
        <w:t xml:space="preserve">** Предельные (максимальные) индексы изменения размера вносимой гражданами платы за коммунальные услуги в муниципальных образованиях в Камчатском крае не могут превышать индекс изменения размера вносимой гражданами платы за коммунальные услуги в среднем по Камчатскому краю более чем на величину предельно допустимого отклонения по отдельным муниципальным образованиям в Камчатском крае от величины среднего индекса изменения размера вносимой гражданами платы за коммунальные услуги по Камчатскому краю, за исключением случаев, предусмотренных разделом </w:t>
      </w:r>
      <w:r w:rsidRPr="00E31BF1">
        <w:rPr>
          <w:rFonts w:ascii="Times New Roman" w:eastAsia="Calibri" w:hAnsi="Times New Roman"/>
          <w:sz w:val="24"/>
          <w:lang w:val="en-US" w:eastAsia="en-US"/>
        </w:rPr>
        <w:t>IV</w:t>
      </w:r>
      <w:r w:rsidRPr="00E31BF1">
        <w:rPr>
          <w:rFonts w:ascii="Times New Roman" w:eastAsia="Calibri" w:hAnsi="Times New Roman"/>
          <w:sz w:val="24"/>
          <w:lang w:eastAsia="en-US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«</w:t>
      </w:r>
      <w:r w:rsidR="00E31BF1">
        <w:rPr>
          <w:rFonts w:ascii="Times New Roman" w:hAnsi="Times New Roman"/>
          <w:sz w:val="24"/>
        </w:rPr>
        <w:t>О </w:t>
      </w:r>
      <w:bookmarkStart w:id="2" w:name="_GoBack"/>
      <w:bookmarkEnd w:id="2"/>
      <w:r w:rsidRPr="00E31BF1">
        <w:rPr>
          <w:rFonts w:ascii="Times New Roman" w:hAnsi="Times New Roman"/>
          <w:sz w:val="24"/>
        </w:rPr>
        <w:t>формировании индексов изменения размера платы граждан за коммунальные услуги в Российской Федерации»;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Calibri" w:hAnsi="Times New Roman"/>
          <w:sz w:val="24"/>
          <w:szCs w:val="22"/>
          <w:lang w:eastAsia="en-US"/>
        </w:rPr>
        <w:t xml:space="preserve">*** 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>Предельные индексы на 2024-2028 годы устанавливаются в процентном выражении.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>Примечания: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1.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Pr>
          <m:e>
            <m:r>
              <w:rPr>
                <w:rFonts w:ascii="Cambria Math" w:hAnsi="Cambria Math"/>
                <w:sz w:val="24"/>
                <w:szCs w:val="22"/>
              </w:rPr>
              <m:t>Ипц</m:t>
            </m:r>
          </m:e>
          <m:sub>
            <m:r>
              <w:rPr>
                <w:rFonts w:ascii="Cambria Math" w:hAnsi="Cambria Math"/>
                <w:sz w:val="24"/>
                <w:szCs w:val="22"/>
                <w:lang w:val="en-US"/>
              </w:rPr>
              <m:t>g</m:t>
            </m:r>
            <m:r>
              <w:rPr>
                <w:rFonts w:ascii="Cambria Math" w:hAnsi="Cambria Math"/>
                <w:sz w:val="24"/>
                <w:szCs w:val="22"/>
              </w:rPr>
              <m:t>-1</m:t>
            </m:r>
          </m:sub>
        </m:sSub>
      </m:oMath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–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индекс потребительских цен (декабрь к декабрю) согласно прогнозу социально-экономического развития Российской Федерации на год, предшествующий g-му году, на который рассчитываются индексы изменения размера вносимой гражданами платы за коммунальные услуги в среднем по субъектам Российской Федерации (далее - индексы по субъектам Российской Федерации) (по итогам 9 месяцев) (процентов).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2.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Pr>
          <m:e>
            <m:r>
              <w:rPr>
                <w:rFonts w:ascii="Cambria Math" w:hAnsi="Cambria Math"/>
                <w:sz w:val="24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2"/>
              </w:rPr>
              <m:t>g</m:t>
            </m:r>
          </m:sub>
        </m:sSub>
      </m:oMath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–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понижающий (повышающий) коэффициент на соответствующий год долгосрочного периода, определяемый с учетом прогноза социально-экономического развития Российской Федерации.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>3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. </w:t>
      </w:r>
      <m:oMath>
        <m:r>
          <w:rPr>
            <w:rFonts w:ascii="Cambria Math" w:hAnsi="Cambria Math"/>
            <w:sz w:val="24"/>
            <w:szCs w:val="22"/>
          </w:rPr>
          <m:t>L</m:t>
        </m:r>
      </m:oMath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–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показатель изменения, определяемый единовременно в первый год долгосрочного периода с учетом региональных особенностей субъектов Российской Федерации, структуры полезного отпуска коммунальных ресурсов, необходимости возмещения экономически обоснованных расходов регулируемым организациям в порядке, установленном законодательством Российской Федерации, мер дополнительной социальной поддержки граждан, предусмотренной за счет средств бюджета субъекта Российской Федерации и бюджета муниципального образования и направленной на соблюдение установленных предельных (максимальных) индексов изменения размера вносимой гражданами платы за коммунальные услуги в муниципальных образованиях.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4. </w:t>
      </w:r>
      <m:oMath>
        <m:r>
          <w:rPr>
            <w:rFonts w:ascii="Cambria Math" w:hAnsi="Cambria Math"/>
            <w:sz w:val="24"/>
            <w:szCs w:val="22"/>
          </w:rPr>
          <m:t>∆</m:t>
        </m:r>
      </m:oMath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 –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величина превышения фактического роста платы граждан за коммунальные услуги в среднем по субъекту Российской Федерации над установленным индексом по субъекту Российской Федерации.</w:t>
      </w:r>
    </w:p>
    <w:p w:rsidR="000559F1" w:rsidRPr="00E31BF1" w:rsidRDefault="000559F1" w:rsidP="000559F1">
      <w:pPr>
        <w:spacing w:after="0" w:line="240" w:lineRule="auto"/>
        <w:jc w:val="both"/>
        <w:rPr>
          <w:rFonts w:ascii="Times New Roman" w:eastAsia="Arial Unicode MS" w:hAnsi="Times New Roman"/>
          <w:sz w:val="24"/>
          <w:u w:color="000000"/>
          <w:lang w:eastAsia="en-US"/>
        </w:rPr>
      </w:pP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lastRenderedPageBreak/>
        <w:t xml:space="preserve">4.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2"/>
              </w:rPr>
            </m:ctrlPr>
          </m:sSubSupPr>
          <m:e>
            <m:r>
              <w:rPr>
                <w:rFonts w:ascii="Cambria Math" w:hAnsi="Cambria Math"/>
                <w:sz w:val="24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2"/>
              </w:rPr>
              <m:t>тэр</m:t>
            </m:r>
          </m:sub>
          <m:sup>
            <m:r>
              <w:rPr>
                <w:rFonts w:ascii="Cambria Math" w:hAnsi="Cambria Math"/>
                <w:sz w:val="24"/>
                <w:szCs w:val="22"/>
              </w:rPr>
              <m:t>суб</m:t>
            </m:r>
          </m:sup>
        </m:sSubSup>
      </m:oMath>
      <w:r w:rsidRPr="00E31BF1">
        <w:rPr>
          <w:rFonts w:ascii="Times New Roman" w:hAnsi="Times New Roman"/>
          <w:sz w:val="24"/>
          <w:szCs w:val="22"/>
        </w:rPr>
        <w:t> </w:t>
      </w:r>
      <w:r w:rsidRPr="00E31BF1">
        <w:rPr>
          <w:rFonts w:ascii="Times New Roman" w:hAnsi="Times New Roman"/>
          <w:sz w:val="24"/>
          <w:szCs w:val="22"/>
        </w:rPr>
        <w:t xml:space="preserve"> –</w:t>
      </w:r>
      <w:r w:rsidRPr="00E31BF1">
        <w:rPr>
          <w:rFonts w:ascii="Times New Roman" w:eastAsia="Arial Unicode MS" w:hAnsi="Times New Roman"/>
          <w:sz w:val="24"/>
          <w:u w:color="000000"/>
          <w:lang w:eastAsia="en-US"/>
        </w:rPr>
        <w:t xml:space="preserve"> коэффициент, учитывающий изменение стоимости энергоресурсов, используемых при производстве и (или) предоставлении коммунальных услуг в году, предшествующем периоду, на который рассчитываются индексы по субъектам Российской Федерации.</w:t>
      </w:r>
    </w:p>
    <w:p w:rsidR="000559F1" w:rsidRDefault="000559F1">
      <w:pPr>
        <w:rPr>
          <w:rFonts w:ascii="Times New Roman" w:hAnsi="Times New Roman"/>
          <w:sz w:val="28"/>
        </w:rPr>
      </w:pPr>
    </w:p>
    <w:p w:rsidR="000559F1" w:rsidRDefault="000559F1">
      <w:pPr>
        <w:rPr>
          <w:rFonts w:ascii="Times New Roman" w:hAnsi="Times New Roman"/>
          <w:sz w:val="28"/>
        </w:rPr>
        <w:sectPr w:rsidR="000559F1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D767F" w:rsidTr="00CD767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D767F" w:rsidTr="00CD767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67F" w:rsidRDefault="00CD767F" w:rsidP="00CD767F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CD767F" w:rsidTr="00CD767F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CD767F" w:rsidRDefault="00CD767F" w:rsidP="00CD767F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D767F" w:rsidRDefault="00CD767F" w:rsidP="00CD767F">
      <w:pPr>
        <w:rPr>
          <w:rFonts w:ascii="Times New Roman" w:hAnsi="Times New Roman"/>
          <w:sz w:val="24"/>
        </w:rPr>
      </w:pPr>
    </w:p>
    <w:p w:rsidR="001D0D16" w:rsidRDefault="00CD767F" w:rsidP="00CD767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D767F">
        <w:rPr>
          <w:rFonts w:ascii="Times New Roman" w:hAnsi="Times New Roman"/>
          <w:sz w:val="28"/>
        </w:rPr>
        <w:t>Обоснование величины установленных предельных (максимальн</w:t>
      </w:r>
      <w:r>
        <w:rPr>
          <w:rFonts w:ascii="Times New Roman" w:hAnsi="Times New Roman"/>
          <w:sz w:val="28"/>
        </w:rPr>
        <w:t xml:space="preserve">ых) индексов изменения размера </w:t>
      </w:r>
      <w:r w:rsidRPr="00CD767F">
        <w:rPr>
          <w:rFonts w:ascii="Times New Roman" w:hAnsi="Times New Roman"/>
          <w:sz w:val="28"/>
        </w:rPr>
        <w:t>вносимой гражданами платы за коммунальные услуги в муниципальных образованиях в Камчатском крае на 20</w:t>
      </w:r>
      <w:r>
        <w:rPr>
          <w:rFonts w:ascii="Times New Roman" w:hAnsi="Times New Roman"/>
          <w:sz w:val="28"/>
        </w:rPr>
        <w:t>24</w:t>
      </w:r>
      <w:r w:rsidRPr="00CD767F">
        <w:rPr>
          <w:rFonts w:ascii="Times New Roman" w:hAnsi="Times New Roman"/>
          <w:sz w:val="28"/>
        </w:rPr>
        <w:t xml:space="preserve"> год</w:t>
      </w:r>
    </w:p>
    <w:p w:rsidR="00CD767F" w:rsidRDefault="00CD767F" w:rsidP="00CD767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969"/>
        <w:gridCol w:w="28"/>
        <w:gridCol w:w="10907"/>
      </w:tblGrid>
      <w:tr w:rsidR="00CD767F" w:rsidRPr="00CD767F" w:rsidTr="00CD767F"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</w:p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п/п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Муниципальное образование </w:t>
            </w:r>
          </w:p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в Камчатском крае</w:t>
            </w:r>
          </w:p>
        </w:tc>
        <w:tc>
          <w:tcPr>
            <w:tcW w:w="3747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Обоснование величины установленных предельных (максимальных) индексов изменения размера </w:t>
            </w:r>
          </w:p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вносимой гражданами платы за коммунальные услуги в муниципальных образованиях в Камчатском крае</w:t>
            </w:r>
          </w:p>
        </w:tc>
      </w:tr>
      <w:tr w:rsidR="00CD767F" w:rsidRPr="00CD767F" w:rsidTr="00CD767F">
        <w:trPr>
          <w:trHeight w:val="2862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Петропавловск-Камчатский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городской округ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электроэнергию, отопление).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10,5 тыс. человек (для населения, проживающего в 1-но, 2-х этажных жилых домах).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5,8% и в общей численности населения Камчатского края 3,3%.</w:t>
            </w:r>
          </w:p>
        </w:tc>
      </w:tr>
      <w:tr w:rsidR="00CD767F" w:rsidRPr="00CD767F" w:rsidTr="00CD767F">
        <w:trPr>
          <w:trHeight w:val="22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67F" w:rsidRPr="00CD767F" w:rsidRDefault="0016006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Елизовский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27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2.1.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Елизовское городское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%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8,7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22,2% и в общей численности населения Камчатского края 2,8%.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2.2.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Корякское сельское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1 января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водоотведение).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2,7% и в общей численности населения Камчатского края 0,03%.</w:t>
            </w:r>
          </w:p>
        </w:tc>
      </w:tr>
      <w:tr w:rsidR="00CD767F" w:rsidRPr="00CD767F" w:rsidTr="00CD767F">
        <w:trPr>
          <w:trHeight w:val="273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2.3.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Начикинское сельское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с 1 января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79,1%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2.4.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Николаевское сельское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50,6% и в общей численности населения Камчатского края 0,4%.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2.5.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16006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Новоавачинское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водоотведение).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51,6% и в общей численности населения Камчатского края 0,6%.</w:t>
            </w:r>
          </w:p>
        </w:tc>
      </w:tr>
      <w:tr w:rsidR="00CD767F" w:rsidRPr="00CD767F" w:rsidTr="00733C10">
        <w:trPr>
          <w:trHeight w:val="2772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2.6.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16006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Новолесновское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96,8% и в общей численности населения Камчатского края 0,5%.</w:t>
            </w:r>
          </w:p>
        </w:tc>
      </w:tr>
      <w:tr w:rsidR="00CD767F" w:rsidRPr="00CD767F" w:rsidTr="00733C10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2.7.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16006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Паратунское сельское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3,0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83,2% и в общей численности населения Камчатского края 1,0%.</w:t>
            </w:r>
          </w:p>
        </w:tc>
      </w:tr>
      <w:tr w:rsidR="00CD767F" w:rsidRPr="00CD767F" w:rsidTr="00733C10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2.8.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Пионерское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водоотведение).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33,5% и в общей численности населения Камчатского края 0,4%.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2.9.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Раздольненское сельское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72,1% и в общей численности населения Камчатского края 0,6%.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2.10.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733C10" w:rsidP="00733C10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Вулканное городское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водоотведение).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66,3%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3.</w:t>
            </w:r>
          </w:p>
        </w:tc>
        <w:tc>
          <w:tcPr>
            <w:tcW w:w="4779" w:type="pct"/>
            <w:gridSpan w:val="3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Мильковский 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3.1.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Атласовское сельское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bottom w:val="nil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88,7%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3.2.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Мильковское сельское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7,0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82,8% и в общей численности населения Камчатского края 2,2%.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4.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Вилючинский городской округ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0,9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4,1%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5.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Усть-Большерецкий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5.1.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Озерновское городское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1,5 тыс. человек (для населения, проживающего в жилых домах с электроотоплением, электроподогревом воды).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97,0% и в общей численности населения Камчатского края 0,5%.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5.2.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Октябрьское городское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94,3% и в общей численности населения Камчатского края 0,5%.</w:t>
            </w:r>
          </w:p>
        </w:tc>
      </w:tr>
      <w:tr w:rsidR="00CD767F" w:rsidRPr="00CD767F" w:rsidTr="00CD767F">
        <w:trPr>
          <w:trHeight w:val="1411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5.3.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Апачинское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0,9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92,3%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5.4.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Запорожское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93,6% и в общей численности населения Камчатского края 0,2%.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5.5.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Кавалерское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1 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99,3%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5.6.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Усть-Большерецкое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98,9% и в общей численности населения Камчатского края 0,6%.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6.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Соболевский 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6.1.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Крутогоровское сельское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81,1%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6.2.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Соболевское сельское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газоснабжение.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97,0% и в общей численности населения Камчатского края 0,5%.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6.3.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Устьевое сельское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79,6%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7.</w:t>
            </w:r>
          </w:p>
        </w:tc>
        <w:tc>
          <w:tcPr>
            <w:tcW w:w="4779" w:type="pct"/>
            <w:gridSpan w:val="3"/>
            <w:shd w:val="clear" w:color="auto" w:fill="auto"/>
          </w:tcPr>
          <w:p w:rsidR="00CD767F" w:rsidRPr="00CD767F" w:rsidRDefault="00733C10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Усть-Камчатский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7.1.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Усть-Камчатское сельское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20,1%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7.2.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Ключевское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4,0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87,0% и в общей численности населения Камчатского края 1,3%.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7.3.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Козыревское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поселение 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1 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1,0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90,7%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8.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Быстринский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8.1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Эссовское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0,8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41,9% и в общей численности населения Камчатского края 0,3%.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8.2.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Анавгайское сельское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обращение с твердыми коммунальными отходами.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50,1%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9.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733C10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Алеутский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9.1.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Никольское сельское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поселение</w:t>
            </w: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1 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0,7 тыс. человек. Доля населения, изменение размера платы за коммунальные услуги в отношении которого равно установленному предельному (максимальному)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индексу, в общей численности населения на территории муниципального образования 97,5% и в общей численности населения Камчатского края 0,2%.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733C10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Пенжинский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10.1.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Аянка»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91,6% и в общей численности населения Камчатского края 0,1%.</w:t>
            </w:r>
          </w:p>
        </w:tc>
      </w:tr>
      <w:tr w:rsidR="00CD767F" w:rsidRPr="00CD767F" w:rsidTr="00733C10">
        <w:trPr>
          <w:trHeight w:val="340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10.2.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Каменское»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88,3% и в общей численности населения Камчатского края 0,2%.</w:t>
            </w:r>
          </w:p>
        </w:tc>
      </w:tr>
      <w:tr w:rsidR="00CD767F" w:rsidRPr="00CD767F" w:rsidTr="00733C10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10.3.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Манилы»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0,7 тыс. человек. Доля населения, изменение размера платы за коммунальные услуги в отношении которого равно установленному предельному (максимальному)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индексу, в общей численности населения на территории муниципального образования 97,0% и в общей численности населения Камчатского края 0,2%.</w:t>
            </w:r>
          </w:p>
        </w:tc>
      </w:tr>
      <w:tr w:rsidR="00CD767F" w:rsidRPr="00CD767F" w:rsidTr="00733C10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10.4.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Слаутное»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87,0%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10.5.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Таловка»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92,2%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11.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733C10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Карагинский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2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11.1.</w:t>
            </w:r>
          </w:p>
        </w:tc>
        <w:tc>
          <w:tcPr>
            <w:tcW w:w="10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Городское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«поселок Оссора»</w:t>
            </w:r>
          </w:p>
        </w:tc>
        <w:tc>
          <w:tcPr>
            <w:tcW w:w="3758" w:type="pct"/>
            <w:gridSpan w:val="2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 xml:space="preserve">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1,8 тыс. человек. Доля населения, изменение размера платы за коммунальные услуги в отношении которого равно установленному предельному (максимальному)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индексу, в общей численности населения на территории муниципального образования 90,3% и в общей численности населения Камчатского края 0,6%.</w:t>
            </w:r>
          </w:p>
        </w:tc>
      </w:tr>
      <w:tr w:rsidR="00CD767F" w:rsidRPr="00CD767F" w:rsidTr="00CD767F">
        <w:trPr>
          <w:trHeight w:val="2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11.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2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Ивашка»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1 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0,03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91,7% и в общей численности населения Камчатского края 0,2%.</w:t>
            </w:r>
          </w:p>
        </w:tc>
      </w:tr>
      <w:tr w:rsidR="00CD767F" w:rsidRPr="00CD767F" w:rsidTr="00CD767F">
        <w:trPr>
          <w:trHeight w:val="2426"/>
        </w:trPr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11.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Ильпырское»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прогнозный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84,9% и в общей численности населения Камчатского края 0,03%.</w:t>
            </w:r>
          </w:p>
        </w:tc>
      </w:tr>
      <w:tr w:rsidR="00CD767F" w:rsidRPr="00CD767F" w:rsidTr="00CD767F">
        <w:trPr>
          <w:trHeight w:val="2796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11.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Карага»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5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прогнозный рост тарифов на коммунальные услуги для населения 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78,4%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11.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5.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Межселенные территории, входящие в состав территории Карагинского муниципального района, кроме территорий городского и сельских поселений, включая территорию упраздненного сельского поселения село Кострома</w:t>
            </w:r>
          </w:p>
        </w:tc>
        <w:tc>
          <w:tcPr>
            <w:tcW w:w="37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прогнозный рост тарифов на коммунальные услуги для населения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 xml:space="preserve">с 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733C10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733C10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0,07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100,0% и в общей численности населения Камчатского края 0,02%.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11.6.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Тымлат»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1 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93,2% и в общей численности населения Камчатского края 0,2%.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12.</w:t>
            </w:r>
          </w:p>
        </w:tc>
        <w:tc>
          <w:tcPr>
            <w:tcW w:w="477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D767F" w:rsidRPr="00CD767F" w:rsidRDefault="00B90BD4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Олюторский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12.1.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Апука»</w:t>
            </w:r>
          </w:p>
        </w:tc>
        <w:tc>
          <w:tcPr>
            <w:tcW w:w="37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1 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индексу, в общей численности населения на территории муниципального образования 85,5% и в общей численности населения Камчатского края 0,06%.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12.2.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Ачайваям»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и в связи с поэтапным доведением уровня оплаты коммунальных услуг до 100 процентов от установленных экономически обоснованных тарифов с учетом изменения нормативов потребления коммунальных услуг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89,5%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12.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3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Вывенка»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89,7%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12.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4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Средние Пахачи»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  <w:tc>
          <w:tcPr>
            <w:tcW w:w="37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88,8%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126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12.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5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Тиличики»</w:t>
            </w:r>
          </w:p>
        </w:tc>
        <w:tc>
          <w:tcPr>
            <w:tcW w:w="375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1 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84,0% и в общей численности населения Камчатского края 0,4%.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12.</w:t>
            </w:r>
            <w:r w:rsidRPr="00CD767F">
              <w:rPr>
                <w:rFonts w:ascii="Times New Roman" w:eastAsia="Calibri" w:hAnsi="Times New Roman"/>
                <w:szCs w:val="22"/>
                <w:lang w:val="en-US" w:eastAsia="en-US"/>
              </w:rPr>
              <w:t>6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Пахачи»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0,6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92,0% и в общей численности населения Камчатского края 0,2%.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12.7.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Хаилино»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0,3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83,3%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13.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Городской округ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«поселок Палана»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2,5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85,6% и в общей численности населения Камчатского края 0,8%.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14.</w:t>
            </w:r>
          </w:p>
        </w:tc>
        <w:tc>
          <w:tcPr>
            <w:tcW w:w="477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B90BD4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 xml:space="preserve">Тигильский </w:t>
            </w:r>
            <w:r w:rsidR="00CD767F" w:rsidRPr="00CD767F">
              <w:rPr>
                <w:rFonts w:ascii="Times New Roman" w:eastAsia="Calibri" w:hAnsi="Times New Roman"/>
                <w:szCs w:val="22"/>
                <w:lang w:eastAsia="en-US"/>
              </w:rPr>
              <w:t>муниципальный район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14.1.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Воямполка»</w:t>
            </w:r>
          </w:p>
        </w:tc>
        <w:tc>
          <w:tcPr>
            <w:tcW w:w="37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88,0% и в общей численности населения Камчатского края 0,03%.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14.2.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br/>
              <w:t>«село Ковран»</w:t>
            </w:r>
          </w:p>
        </w:tc>
        <w:tc>
          <w:tcPr>
            <w:tcW w:w="374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87,3%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14.3.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Лесная»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90,0%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14.4.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Седанка»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0,4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87,2% и в общей численности населения Камчатского края 0,1%.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14.5.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Сельское поселение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Тигиль»</w:t>
            </w:r>
          </w:p>
        </w:tc>
        <w:tc>
          <w:tcPr>
            <w:tcW w:w="37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водоснабжение, водоотведение.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с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воду, водоотведение).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1,2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82,8% и в общей численности населения Камчатского края 0,4%.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14.6.</w:t>
            </w:r>
          </w:p>
        </w:tc>
        <w:tc>
          <w:tcPr>
            <w:tcW w:w="1032" w:type="pct"/>
            <w:gridSpan w:val="2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Усть-Хайрюзово»</w:t>
            </w:r>
          </w:p>
        </w:tc>
        <w:tc>
          <w:tcPr>
            <w:tcW w:w="3747" w:type="pct"/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электроснабжение, теплоснабжение, горячее и холодное водоснабжение.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 xml:space="preserve">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отопление, электроэнергию, питьевую воду).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0,7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90,0% и в общей численности населения Камчатского края 0,2%.</w:t>
            </w:r>
          </w:p>
        </w:tc>
      </w:tr>
      <w:tr w:rsidR="00CD767F" w:rsidRPr="00CD767F" w:rsidTr="00CD767F">
        <w:trPr>
          <w:trHeight w:val="340"/>
        </w:trPr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lastRenderedPageBreak/>
              <w:t>14.7.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Сельское поселение </w:t>
            </w:r>
          </w:p>
          <w:p w:rsidR="00CD767F" w:rsidRPr="00CD767F" w:rsidRDefault="00CD767F" w:rsidP="00CD767F">
            <w:pPr>
              <w:spacing w:after="0" w:line="240" w:lineRule="auto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«село Хайрюзово»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</w:tcPr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Набор коммунальных услуг: электроснабжение. Рост платы граждан сформировался в целях реализации производственных программ организаций, оказывающих коммунальные услуги населению, согласно которым рост тарифов на коммунальные услуги для населения 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1 января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декабрю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0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>%, с 1 июля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24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к январю 20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23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 года в среднем составит не выше </w:t>
            </w:r>
            <w:r w:rsidR="00B90BD4">
              <w:rPr>
                <w:rFonts w:ascii="Times New Roman" w:eastAsia="Calibri" w:hAnsi="Times New Roman"/>
                <w:szCs w:val="22"/>
                <w:lang w:eastAsia="en-US"/>
              </w:rPr>
              <w:t>9,6</w:t>
            </w:r>
            <w:r w:rsidR="00B90BD4"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% </w:t>
            </w: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 xml:space="preserve">и в связи с поэтапным доведением уровня оплаты коммунальных услуг до 100 процентов от установленных экономически обоснованных тарифов (льготные тарифы на электроэнергию). </w:t>
            </w:r>
          </w:p>
          <w:p w:rsidR="00CD767F" w:rsidRPr="00CD767F" w:rsidRDefault="00CD767F" w:rsidP="00CD767F">
            <w:pPr>
              <w:spacing w:after="0" w:line="240" w:lineRule="auto"/>
              <w:jc w:val="both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D767F">
              <w:rPr>
                <w:rFonts w:ascii="Times New Roman" w:eastAsia="Calibri" w:hAnsi="Times New Roman"/>
                <w:szCs w:val="22"/>
                <w:lang w:eastAsia="en-US"/>
              </w:rPr>
              <w:t>Численность населения, изменение размера платы за коммунальные услуги в отношении которого равно установленному предельному (максимальному) индексу: 0,1 тыс. человек. Доля населения, изменение размера платы за коммунальные услуги в отношении которого равно установленному предельному (максимальному) индексу, в общей численности населения на территории муниципального образования 88,2% и в общей численности населения Камчатского края 0,04%.</w:t>
            </w:r>
          </w:p>
        </w:tc>
      </w:tr>
    </w:tbl>
    <w:p w:rsidR="00CD767F" w:rsidRDefault="00CD767F" w:rsidP="00CD767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6006F" w:rsidRPr="001D0D16" w:rsidRDefault="0016006F" w:rsidP="00CD767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sectPr w:rsidR="0016006F" w:rsidRPr="001D0D16" w:rsidSect="00CD767F">
      <w:pgSz w:w="16838" w:h="11906" w:orient="landscape"/>
      <w:pgMar w:top="1418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C26"/>
    <w:multiLevelType w:val="hybridMultilevel"/>
    <w:tmpl w:val="33128848"/>
    <w:lvl w:ilvl="0" w:tplc="7688E2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52FCB"/>
    <w:multiLevelType w:val="hybridMultilevel"/>
    <w:tmpl w:val="80523DE8"/>
    <w:lvl w:ilvl="0" w:tplc="60AAC7B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552F6"/>
    <w:multiLevelType w:val="hybridMultilevel"/>
    <w:tmpl w:val="F0440A16"/>
    <w:lvl w:ilvl="0" w:tplc="4448E6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22C96"/>
    <w:multiLevelType w:val="hybridMultilevel"/>
    <w:tmpl w:val="ACF8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3ABD"/>
    <w:multiLevelType w:val="hybridMultilevel"/>
    <w:tmpl w:val="959E602E"/>
    <w:lvl w:ilvl="0" w:tplc="33CC6460">
      <w:start w:val="1"/>
      <w:numFmt w:val="russianLower"/>
      <w:lvlText w:val="%1)"/>
      <w:lvlJc w:val="left"/>
      <w:pPr>
        <w:ind w:left="928" w:hanging="360"/>
      </w:pPr>
      <w:rPr>
        <w:rFonts w:hint="default"/>
        <w:b w:val="0"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4803331"/>
    <w:multiLevelType w:val="hybridMultilevel"/>
    <w:tmpl w:val="064AB26C"/>
    <w:lvl w:ilvl="0" w:tplc="BF34E2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E05577F"/>
    <w:multiLevelType w:val="hybridMultilevel"/>
    <w:tmpl w:val="5290DA80"/>
    <w:lvl w:ilvl="0" w:tplc="0E4234A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0535F"/>
    <w:rsid w:val="000559F1"/>
    <w:rsid w:val="0016006F"/>
    <w:rsid w:val="001608B0"/>
    <w:rsid w:val="001D0D16"/>
    <w:rsid w:val="00405498"/>
    <w:rsid w:val="00570179"/>
    <w:rsid w:val="00733C10"/>
    <w:rsid w:val="00754EF5"/>
    <w:rsid w:val="00B845F1"/>
    <w:rsid w:val="00B90BD4"/>
    <w:rsid w:val="00BF59E3"/>
    <w:rsid w:val="00CD767F"/>
    <w:rsid w:val="00E3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41ABE7C3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1"/>
    <w:link w:val="a3"/>
    <w:uiPriority w:val="99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1"/>
    <w:link w:val="aa"/>
    <w:uiPriority w:val="99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1D0D1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styleId="af1">
    <w:name w:val="page number"/>
    <w:basedOn w:val="a0"/>
    <w:rsid w:val="001D0D16"/>
  </w:style>
  <w:style w:type="paragraph" w:customStyle="1" w:styleId="ConsPlusNonformat">
    <w:name w:val="ConsPlusNonformat"/>
    <w:uiPriority w:val="99"/>
    <w:rsid w:val="001D0D1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customStyle="1" w:styleId="ConsPlusCell">
    <w:name w:val="ConsPlusCell"/>
    <w:rsid w:val="001D0D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paragraph" w:styleId="af2">
    <w:name w:val="List Paragraph"/>
    <w:basedOn w:val="a"/>
    <w:uiPriority w:val="34"/>
    <w:qFormat/>
    <w:rsid w:val="001D0D16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1D0D16"/>
  </w:style>
  <w:style w:type="paragraph" w:customStyle="1" w:styleId="ConsPlusTitle">
    <w:name w:val="ConsPlusTitle"/>
    <w:rsid w:val="001D0D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af3">
    <w:name w:val="Таблицы (моноширинный)"/>
    <w:basedOn w:val="a"/>
    <w:next w:val="a"/>
    <w:rsid w:val="001D0D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  <w:style w:type="paragraph" w:styleId="af4">
    <w:name w:val="Body Text"/>
    <w:basedOn w:val="a"/>
    <w:link w:val="af5"/>
    <w:rsid w:val="001D0D16"/>
    <w:pPr>
      <w:spacing w:after="0" w:line="240" w:lineRule="auto"/>
      <w:jc w:val="center"/>
    </w:pPr>
    <w:rPr>
      <w:rFonts w:ascii="Times New Roman" w:hAnsi="Times New Roman"/>
      <w:color w:val="auto"/>
      <w:sz w:val="28"/>
      <w:szCs w:val="24"/>
    </w:rPr>
  </w:style>
  <w:style w:type="character" w:customStyle="1" w:styleId="af5">
    <w:name w:val="Основной текст Знак"/>
    <w:basedOn w:val="a0"/>
    <w:link w:val="af4"/>
    <w:rsid w:val="001D0D16"/>
    <w:rPr>
      <w:rFonts w:ascii="Times New Roman" w:hAnsi="Times New Roman"/>
      <w:color w:val="auto"/>
      <w:sz w:val="28"/>
      <w:szCs w:val="24"/>
    </w:rPr>
  </w:style>
  <w:style w:type="paragraph" w:customStyle="1" w:styleId="ConsNormal">
    <w:name w:val="ConsNormal"/>
    <w:rsid w:val="001D0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styleId="af6">
    <w:name w:val="annotation reference"/>
    <w:uiPriority w:val="99"/>
    <w:unhideWhenUsed/>
    <w:rsid w:val="001D0D16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1D0D16"/>
    <w:pPr>
      <w:spacing w:after="200" w:line="240" w:lineRule="auto"/>
    </w:pPr>
    <w:rPr>
      <w:rFonts w:ascii="Calibri" w:eastAsia="Calibri" w:hAnsi="Calibri"/>
      <w:color w:val="auto"/>
      <w:sz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1D0D16"/>
    <w:rPr>
      <w:rFonts w:ascii="Calibri" w:eastAsia="Calibri" w:hAnsi="Calibri"/>
      <w:color w:val="auto"/>
      <w:sz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1D0D1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1D0D16"/>
    <w:rPr>
      <w:rFonts w:ascii="Calibri" w:eastAsia="Calibri" w:hAnsi="Calibri"/>
      <w:b/>
      <w:bCs/>
      <w:color w:val="auto"/>
      <w:sz w:val="20"/>
      <w:lang w:eastAsia="en-US"/>
    </w:rPr>
  </w:style>
  <w:style w:type="paragraph" w:styleId="afb">
    <w:name w:val="No Spacing"/>
    <w:uiPriority w:val="1"/>
    <w:qFormat/>
    <w:rsid w:val="001D0D16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18">
    <w:name w:val="Знак1"/>
    <w:basedOn w:val="a"/>
    <w:rsid w:val="001D0D16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character" w:styleId="afc">
    <w:name w:val="FollowedHyperlink"/>
    <w:basedOn w:val="a0"/>
    <w:uiPriority w:val="99"/>
    <w:semiHidden/>
    <w:unhideWhenUsed/>
    <w:rsid w:val="0000535F"/>
    <w:rPr>
      <w:color w:val="954F72"/>
      <w:u w:val="single"/>
    </w:rPr>
  </w:style>
  <w:style w:type="paragraph" w:customStyle="1" w:styleId="msonormal0">
    <w:name w:val="msonormal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font6">
    <w:name w:val="font6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font7">
    <w:name w:val="font7"/>
    <w:basedOn w:val="a"/>
    <w:rsid w:val="0000535F"/>
    <w:pPr>
      <w:spacing w:before="100" w:beforeAutospacing="1" w:after="100" w:afterAutospacing="1" w:line="240" w:lineRule="auto"/>
    </w:pPr>
    <w:rPr>
      <w:rFonts w:ascii="Times New Roman" w:hAnsi="Times New Roman"/>
      <w:szCs w:val="22"/>
    </w:rPr>
  </w:style>
  <w:style w:type="paragraph" w:customStyle="1" w:styleId="xl63">
    <w:name w:val="xl63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4">
    <w:name w:val="xl64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rsid w:val="00005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24"/>
      <w:szCs w:val="24"/>
    </w:rPr>
  </w:style>
  <w:style w:type="character" w:styleId="afd">
    <w:name w:val="Placeholder Text"/>
    <w:basedOn w:val="a0"/>
    <w:uiPriority w:val="99"/>
    <w:semiHidden/>
    <w:rsid w:val="00570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27</Pages>
  <Words>11458</Words>
  <Characters>65316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Альбина Андреевна</dc:creator>
  <cp:lastModifiedBy>Середа Альбина Андреевна</cp:lastModifiedBy>
  <cp:revision>6</cp:revision>
  <dcterms:created xsi:type="dcterms:W3CDTF">2023-11-14T03:14:00Z</dcterms:created>
  <dcterms:modified xsi:type="dcterms:W3CDTF">2023-11-14T04:39:00Z</dcterms:modified>
</cp:coreProperties>
</file>