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B8" w:rsidRDefault="00F97783">
      <w:pPr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2B8" w:rsidRDefault="005D42B8">
      <w:pPr>
        <w:jc w:val="center"/>
        <w:rPr>
          <w:sz w:val="32"/>
        </w:rPr>
      </w:pPr>
    </w:p>
    <w:p w:rsidR="005D42B8" w:rsidRDefault="005D42B8">
      <w:pPr>
        <w:jc w:val="center"/>
        <w:rPr>
          <w:b/>
          <w:sz w:val="32"/>
        </w:rPr>
      </w:pPr>
    </w:p>
    <w:p w:rsidR="005D42B8" w:rsidRDefault="005D42B8">
      <w:pPr>
        <w:rPr>
          <w:b/>
          <w:sz w:val="32"/>
        </w:rPr>
      </w:pPr>
    </w:p>
    <w:p w:rsidR="005D42B8" w:rsidRDefault="00F97783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5D42B8" w:rsidRDefault="00F97783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5D42B8" w:rsidRDefault="00F97783">
      <w:pPr>
        <w:jc w:val="both"/>
        <w:rPr>
          <w:sz w:val="28"/>
        </w:rPr>
      </w:pPr>
      <w:r>
        <w:rPr>
          <w:sz w:val="28"/>
        </w:rPr>
        <w:t> </w:t>
      </w:r>
    </w:p>
    <w:p w:rsidR="005D42B8" w:rsidRDefault="00F9778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D42B8" w:rsidRDefault="005D42B8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D42B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5D42B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5D42B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D42B8" w:rsidRDefault="005D42B8">
            <w:pPr>
              <w:jc w:val="both"/>
              <w:rPr>
                <w:sz w:val="20"/>
              </w:rPr>
            </w:pPr>
          </w:p>
        </w:tc>
      </w:tr>
    </w:tbl>
    <w:p w:rsidR="005D42B8" w:rsidRDefault="005D42B8">
      <w:pPr>
        <w:ind w:firstLine="709"/>
        <w:jc w:val="both"/>
        <w:rPr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5D42B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5D42B8" w:rsidRDefault="00F97783" w:rsidP="007524F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7524F0">
              <w:rPr>
                <w:b/>
                <w:sz w:val="28"/>
              </w:rPr>
              <w:t>29</w:t>
            </w:r>
            <w:r>
              <w:rPr>
                <w:b/>
                <w:sz w:val="28"/>
              </w:rPr>
              <w:t xml:space="preserve">.11.2022 № </w:t>
            </w:r>
            <w:r w:rsidR="007524F0">
              <w:rPr>
                <w:b/>
                <w:sz w:val="28"/>
              </w:rPr>
              <w:t>456</w:t>
            </w:r>
            <w:r>
              <w:rPr>
                <w:b/>
                <w:sz w:val="28"/>
              </w:rPr>
              <w:t xml:space="preserve"> «</w:t>
            </w:r>
            <w:r w:rsidR="007524F0" w:rsidRPr="007524F0">
              <w:rPr>
                <w:b/>
                <w:sz w:val="28"/>
              </w:rPr>
              <w:t xml:space="preserve">Об утверждении цен (тарифов) на электрическую энергию, поставляемую ПАО «Камчатскэнерго» потребителям Камчатского края </w:t>
            </w:r>
            <w:r w:rsidR="007524F0">
              <w:rPr>
                <w:b/>
                <w:sz w:val="28"/>
              </w:rPr>
              <w:br/>
            </w:r>
            <w:r w:rsidR="007524F0" w:rsidRPr="007524F0">
              <w:rPr>
                <w:b/>
                <w:sz w:val="28"/>
              </w:rPr>
              <w:t>на 2023-2027 годы</w:t>
            </w:r>
            <w:r>
              <w:rPr>
                <w:b/>
                <w:sz w:val="28"/>
              </w:rPr>
              <w:t xml:space="preserve">» </w:t>
            </w:r>
          </w:p>
        </w:tc>
      </w:tr>
    </w:tbl>
    <w:p w:rsidR="005D42B8" w:rsidRDefault="005D42B8">
      <w:pPr>
        <w:ind w:firstLine="709"/>
        <w:jc w:val="both"/>
        <w:rPr>
          <w:sz w:val="28"/>
        </w:rPr>
      </w:pPr>
    </w:p>
    <w:p w:rsidR="005D42B8" w:rsidRDefault="007524F0">
      <w:pPr>
        <w:ind w:firstLine="709"/>
        <w:jc w:val="both"/>
        <w:rPr>
          <w:sz w:val="28"/>
        </w:rPr>
      </w:pPr>
      <w:r w:rsidRPr="007524F0">
        <w:rPr>
          <w:sz w:val="28"/>
        </w:rPr>
        <w:t xml:space="preserve">В соответствии с Федеральным законом от 26.03.2003 № 35-ФЗ </w:t>
      </w:r>
      <w:r w:rsidRPr="007524F0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постановлением Правительства Камчатского края от 19.12.2008 </w:t>
      </w:r>
      <w:r w:rsidRPr="007524F0">
        <w:rPr>
          <w:sz w:val="28"/>
        </w:rPr>
        <w:br/>
        <w:t xml:space="preserve">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FB1A9A">
        <w:rPr>
          <w:sz w:val="28"/>
          <w:highlight w:val="yellow"/>
        </w:rPr>
        <w:t>ХХ.</w:t>
      </w:r>
      <w:r w:rsidR="00FB1A9A" w:rsidRPr="00FB1A9A">
        <w:rPr>
          <w:sz w:val="28"/>
          <w:highlight w:val="yellow"/>
        </w:rPr>
        <w:t>10</w:t>
      </w:r>
      <w:r w:rsidRPr="00FB1A9A">
        <w:rPr>
          <w:sz w:val="28"/>
          <w:highlight w:val="yellow"/>
        </w:rPr>
        <w:t>.2023 № ХХХ</w:t>
      </w:r>
    </w:p>
    <w:p w:rsidR="005D42B8" w:rsidRDefault="005D42B8">
      <w:pPr>
        <w:ind w:firstLine="709"/>
        <w:jc w:val="both"/>
        <w:rPr>
          <w:sz w:val="28"/>
        </w:rPr>
      </w:pPr>
    </w:p>
    <w:p w:rsidR="005D42B8" w:rsidRDefault="00F97783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5D42B8" w:rsidRDefault="005D42B8">
      <w:pPr>
        <w:ind w:firstLine="709"/>
        <w:jc w:val="both"/>
        <w:rPr>
          <w:sz w:val="28"/>
        </w:rPr>
      </w:pPr>
    </w:p>
    <w:p w:rsidR="005314FE" w:rsidRDefault="00270BAE" w:rsidP="005314FE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270BAE">
        <w:rPr>
          <w:rFonts w:eastAsia="Calibri"/>
          <w:sz w:val="28"/>
          <w:szCs w:val="28"/>
          <w:lang w:eastAsia="en-US"/>
        </w:rPr>
        <w:tab/>
      </w:r>
      <w:r w:rsidR="005314FE" w:rsidRPr="005314FE">
        <w:rPr>
          <w:rFonts w:eastAsia="Calibri"/>
          <w:sz w:val="28"/>
          <w:szCs w:val="28"/>
          <w:lang w:eastAsia="en-US"/>
        </w:rPr>
        <w:t>Внести постановлени</w:t>
      </w:r>
      <w:r w:rsidR="005314FE">
        <w:rPr>
          <w:rFonts w:eastAsia="Calibri"/>
          <w:sz w:val="28"/>
          <w:szCs w:val="28"/>
          <w:lang w:eastAsia="en-US"/>
        </w:rPr>
        <w:t>е</w:t>
      </w:r>
      <w:r w:rsidR="005314FE" w:rsidRPr="005314FE">
        <w:rPr>
          <w:rFonts w:eastAsia="Calibri"/>
          <w:sz w:val="28"/>
          <w:szCs w:val="28"/>
          <w:lang w:eastAsia="en-US"/>
        </w:rPr>
        <w:t xml:space="preserve"> Региональной службы по тарифам и ценам Камчатского края от 29.11.2022 № 456 «Об утверждении цен (тарифов) на электрическую энергию, поставляемую ПАО «Камчатскэнерго» потребителям Камчатского края на 2023-2027 годы» </w:t>
      </w:r>
      <w:r w:rsidR="005314FE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F97783" w:rsidRPr="005314FE" w:rsidRDefault="005314FE" w:rsidP="005314FE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14FE">
        <w:rPr>
          <w:rFonts w:ascii="Times New Roman" w:eastAsia="Calibri" w:hAnsi="Times New Roman"/>
          <w:sz w:val="28"/>
          <w:szCs w:val="28"/>
          <w:lang w:eastAsia="en-US"/>
        </w:rPr>
        <w:t>Внести в приложение 4 к постановлению Региональной службы по тарифам и ценам Камчатского края от 29.11.2022 № 456 «Об утверждении цен (тарифов) на электрическую энергию, поставляемую ПАО «Камчатскэнерго» потребителям Камчатского края на 2023-2027 годы» изменения, изложив их в редакции, согласно приложению 1 к настоящему постановлению.</w:t>
      </w:r>
    </w:p>
    <w:p w:rsidR="005314FE" w:rsidRPr="005314FE" w:rsidRDefault="005314FE" w:rsidP="005314FE">
      <w:pPr>
        <w:pStyle w:val="a5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14FE">
        <w:rPr>
          <w:rFonts w:ascii="Times New Roman" w:hAnsi="Times New Roman"/>
          <w:sz w:val="28"/>
          <w:szCs w:val="28"/>
        </w:rPr>
        <w:t xml:space="preserve">Дополнить </w:t>
      </w:r>
      <w:r w:rsidRPr="005314FE">
        <w:rPr>
          <w:rFonts w:ascii="Times New Roman" w:hAnsi="Times New Roman"/>
          <w:bCs/>
          <w:sz w:val="28"/>
          <w:szCs w:val="28"/>
        </w:rPr>
        <w:t xml:space="preserve">частью 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5314FE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5314FE" w:rsidRPr="001D4D7E" w:rsidRDefault="005314FE" w:rsidP="005314FE">
      <w:pPr>
        <w:ind w:firstLine="709"/>
        <w:contextualSpacing/>
        <w:jc w:val="both"/>
        <w:rPr>
          <w:bCs/>
          <w:sz w:val="28"/>
          <w:szCs w:val="28"/>
          <w:highlight w:val="yellow"/>
        </w:rPr>
      </w:pPr>
      <w:r w:rsidRPr="001D4D7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vertAlign w:val="superscript"/>
        </w:rPr>
        <w:t>2</w:t>
      </w:r>
      <w:r w:rsidRPr="001D4D7E">
        <w:rPr>
          <w:bCs/>
          <w:sz w:val="28"/>
          <w:szCs w:val="28"/>
        </w:rPr>
        <w:t xml:space="preserve">. </w:t>
      </w:r>
      <w:r w:rsidRPr="005314FE">
        <w:rPr>
          <w:sz w:val="28"/>
          <w:szCs w:val="28"/>
        </w:rPr>
        <w:t>Утвердить и ввести в действие на 202</w:t>
      </w:r>
      <w:r>
        <w:rPr>
          <w:sz w:val="28"/>
          <w:szCs w:val="28"/>
        </w:rPr>
        <w:t>4</w:t>
      </w:r>
      <w:r w:rsidRPr="005314FE">
        <w:rPr>
          <w:sz w:val="28"/>
          <w:szCs w:val="28"/>
        </w:rPr>
        <w:t xml:space="preserve"> год цены (тарифы) на электрическую энергию (мощность), поставляемую ПАО «Камчатскэнерго» территориальным сетевым организациям в технологически изолированных территориальных электроэнергетических системах и на территориях, не </w:t>
      </w:r>
      <w:r w:rsidRPr="005314FE">
        <w:rPr>
          <w:sz w:val="28"/>
          <w:szCs w:val="28"/>
        </w:rPr>
        <w:lastRenderedPageBreak/>
        <w:t xml:space="preserve">связанных с Единой энергетической системой России и технологически изолированными территориальными электроэнергетическими системами, для целей компенсации потерь в электрических сетях, по договорам купли-продажи (без НДС), </w:t>
      </w:r>
      <w:r>
        <w:rPr>
          <w:sz w:val="28"/>
          <w:szCs w:val="28"/>
          <w:lang w:val="x-none"/>
        </w:rPr>
        <w:t xml:space="preserve">согласно </w:t>
      </w:r>
      <w:r w:rsidRPr="001D4D7E">
        <w:rPr>
          <w:sz w:val="28"/>
          <w:szCs w:val="28"/>
          <w:lang w:val="x-none"/>
        </w:rPr>
        <w:t xml:space="preserve">приложению </w:t>
      </w:r>
      <w:r w:rsidR="009205B4" w:rsidRPr="009205B4">
        <w:rPr>
          <w:bCs/>
          <w:sz w:val="28"/>
          <w:szCs w:val="28"/>
        </w:rPr>
        <w:t>5</w:t>
      </w:r>
      <w:r w:rsidR="009205B4" w:rsidRPr="009205B4">
        <w:rPr>
          <w:bCs/>
          <w:sz w:val="28"/>
          <w:szCs w:val="28"/>
          <w:vertAlign w:val="superscript"/>
        </w:rPr>
        <w:t>2</w:t>
      </w:r>
      <w:r w:rsidRPr="001D4D7E">
        <w:rPr>
          <w:bCs/>
          <w:sz w:val="28"/>
          <w:szCs w:val="28"/>
        </w:rPr>
        <w:t>»;</w:t>
      </w:r>
    </w:p>
    <w:p w:rsidR="005314FE" w:rsidRPr="009205B4" w:rsidRDefault="005314FE" w:rsidP="009205B4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05B4">
        <w:rPr>
          <w:rFonts w:ascii="Times New Roman" w:hAnsi="Times New Roman"/>
          <w:sz w:val="28"/>
          <w:szCs w:val="28"/>
        </w:rPr>
        <w:t xml:space="preserve">Дополнить </w:t>
      </w:r>
      <w:r w:rsidRPr="009205B4">
        <w:rPr>
          <w:rFonts w:ascii="Times New Roman" w:hAnsi="Times New Roman"/>
          <w:bCs/>
          <w:sz w:val="28"/>
          <w:szCs w:val="28"/>
        </w:rPr>
        <w:t xml:space="preserve">частью </w:t>
      </w:r>
      <w:r w:rsidR="009205B4">
        <w:rPr>
          <w:rFonts w:ascii="Times New Roman" w:hAnsi="Times New Roman"/>
          <w:bCs/>
          <w:sz w:val="28"/>
          <w:szCs w:val="28"/>
        </w:rPr>
        <w:t>6</w:t>
      </w:r>
      <w:r w:rsidR="009205B4" w:rsidRPr="009205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9205B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9205B4" w:rsidRPr="009205B4" w:rsidRDefault="009205B4" w:rsidP="009205B4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9205B4">
        <w:rPr>
          <w:rFonts w:ascii="Times New Roman" w:hAnsi="Times New Roman"/>
          <w:bCs/>
          <w:sz w:val="28"/>
          <w:szCs w:val="28"/>
        </w:rPr>
        <w:t>Утвердить и ввести в действие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205B4">
        <w:rPr>
          <w:rFonts w:ascii="Times New Roman" w:hAnsi="Times New Roman"/>
          <w:bCs/>
          <w:sz w:val="28"/>
          <w:szCs w:val="28"/>
        </w:rPr>
        <w:t xml:space="preserve"> год сбытовые надбавки гарантирующего поставщика электрической энергии</w:t>
      </w:r>
      <w:r w:rsidRPr="009205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5B4">
        <w:rPr>
          <w:rFonts w:ascii="Times New Roman" w:hAnsi="Times New Roman"/>
          <w:bCs/>
          <w:sz w:val="28"/>
          <w:szCs w:val="28"/>
        </w:rPr>
        <w:t>ПАО «Камчатскэнерго», поставляющего электрическую энергию (мощность) на розничном рынке,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9205B4">
        <w:rPr>
          <w:rFonts w:ascii="Times New Roman" w:hAnsi="Times New Roman"/>
          <w:bCs/>
          <w:sz w:val="28"/>
          <w:szCs w:val="28"/>
        </w:rPr>
        <w:t xml:space="preserve"> год, согласно приложению 6</w:t>
      </w:r>
      <w:r w:rsidRPr="009205B4">
        <w:rPr>
          <w:rFonts w:ascii="Times New Roman" w:hAnsi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sz w:val="28"/>
          <w:szCs w:val="28"/>
          <w:vertAlign w:val="superscript"/>
        </w:rPr>
        <w:t>».</w:t>
      </w:r>
    </w:p>
    <w:p w:rsidR="005D42B8" w:rsidRPr="00F97783" w:rsidRDefault="007524F0" w:rsidP="005314FE">
      <w:pPr>
        <w:ind w:firstLine="709"/>
        <w:jc w:val="both"/>
        <w:rPr>
          <w:sz w:val="28"/>
        </w:rPr>
      </w:pPr>
      <w:r w:rsidRPr="007524F0">
        <w:rPr>
          <w:sz w:val="28"/>
          <w:szCs w:val="28"/>
        </w:rPr>
        <w:t xml:space="preserve">3. </w:t>
      </w:r>
      <w:r w:rsidR="00F97783" w:rsidRPr="00F97783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D42B8" w:rsidRDefault="005D42B8">
      <w:pPr>
        <w:ind w:firstLine="709"/>
        <w:jc w:val="both"/>
        <w:rPr>
          <w:sz w:val="28"/>
        </w:rPr>
      </w:pPr>
    </w:p>
    <w:p w:rsidR="005D42B8" w:rsidRDefault="005D42B8">
      <w:pPr>
        <w:ind w:firstLine="709"/>
        <w:jc w:val="both"/>
        <w:rPr>
          <w:sz w:val="28"/>
        </w:rPr>
      </w:pPr>
    </w:p>
    <w:p w:rsidR="005D42B8" w:rsidRDefault="005D42B8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5D42B8" w:rsidTr="007524F0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ind w:left="30" w:right="27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z w:val="28"/>
              </w:rPr>
              <w:t xml:space="preserve"> ру</w:t>
            </w:r>
            <w:r>
              <w:rPr>
                <w:rStyle w:val="1"/>
                <w:sz w:val="28"/>
              </w:rPr>
              <w:t>ководителя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5D42B8" w:rsidRDefault="005D42B8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7524F0" w:rsidRDefault="007524F0">
      <w:pPr>
        <w:ind w:firstLine="709"/>
        <w:jc w:val="both"/>
        <w:rPr>
          <w:sz w:val="28"/>
        </w:rPr>
      </w:pPr>
    </w:p>
    <w:p w:rsidR="007524F0" w:rsidRDefault="007524F0">
      <w:pPr>
        <w:rPr>
          <w:sz w:val="28"/>
        </w:rPr>
      </w:pPr>
      <w:r>
        <w:rPr>
          <w:sz w:val="28"/>
        </w:rPr>
        <w:br w:type="page"/>
      </w:r>
    </w:p>
    <w:p w:rsidR="007524F0" w:rsidRDefault="007524F0" w:rsidP="007524F0">
      <w:pPr>
        <w:jc w:val="both"/>
        <w:rPr>
          <w:sz w:val="28"/>
        </w:rPr>
        <w:sectPr w:rsidR="007524F0" w:rsidSect="005314FE">
          <w:pgSz w:w="11908" w:h="16848"/>
          <w:pgMar w:top="851" w:right="567" w:bottom="690" w:left="1701" w:header="709" w:footer="709" w:gutter="0"/>
          <w:cols w:space="720"/>
        </w:sectPr>
      </w:pP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lastRenderedPageBreak/>
        <w:t>Приложение 1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>к постановлению Региональной службы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по тарифам и ценам Камчатского края 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</w:t>
      </w:r>
      <w:r w:rsidRPr="007524F0">
        <w:rPr>
          <w:rFonts w:eastAsia="Calibri"/>
          <w:sz w:val="28"/>
        </w:rPr>
        <w:t>.</w:t>
      </w:r>
      <w:r w:rsidR="005314FE">
        <w:rPr>
          <w:rFonts w:eastAsia="Calibri"/>
          <w:sz w:val="28"/>
        </w:rPr>
        <w:t>10</w:t>
      </w:r>
      <w:r w:rsidRPr="007524F0">
        <w:rPr>
          <w:rFonts w:eastAsia="Calibri"/>
          <w:sz w:val="28"/>
        </w:rPr>
        <w:t>.202</w:t>
      </w:r>
      <w:r>
        <w:rPr>
          <w:rFonts w:eastAsia="Calibri"/>
          <w:sz w:val="28"/>
        </w:rPr>
        <w:t>3</w:t>
      </w:r>
      <w:r w:rsidRPr="007524F0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ХХХ</w:t>
      </w: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Pr="007524F0" w:rsidRDefault="005314FE" w:rsidP="005314F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524F0">
        <w:rPr>
          <w:bCs/>
          <w:sz w:val="28"/>
          <w:szCs w:val="28"/>
        </w:rPr>
        <w:t>Приложение 4</w:t>
      </w:r>
    </w:p>
    <w:p w:rsidR="005314FE" w:rsidRPr="007524F0" w:rsidRDefault="005314FE" w:rsidP="005314F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 xml:space="preserve">к постановлению Региональной службы   </w:t>
      </w:r>
    </w:p>
    <w:p w:rsidR="005314FE" w:rsidRPr="007524F0" w:rsidRDefault="005314FE" w:rsidP="005314F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по тарифам и ценам Камчатского края</w:t>
      </w:r>
    </w:p>
    <w:p w:rsidR="005314FE" w:rsidRPr="007524F0" w:rsidRDefault="005314FE" w:rsidP="005314FE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от 29.11.2022 № 456</w:t>
      </w:r>
    </w:p>
    <w:p w:rsidR="005314FE" w:rsidRPr="007524F0" w:rsidRDefault="005314FE" w:rsidP="005314FE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</w:p>
    <w:p w:rsidR="005314FE" w:rsidRPr="007524F0" w:rsidRDefault="005314FE" w:rsidP="005314FE">
      <w:pPr>
        <w:rPr>
          <w:sz w:val="28"/>
          <w:szCs w:val="28"/>
          <w:highlight w:val="yellow"/>
        </w:rPr>
      </w:pPr>
    </w:p>
    <w:p w:rsidR="005314FE" w:rsidRPr="007524F0" w:rsidRDefault="005314FE" w:rsidP="005314FE">
      <w:pPr>
        <w:jc w:val="center"/>
        <w:rPr>
          <w:rFonts w:eastAsia="Calibri"/>
          <w:sz w:val="28"/>
          <w:szCs w:val="28"/>
        </w:rPr>
      </w:pPr>
      <w:r w:rsidRPr="007524F0">
        <w:rPr>
          <w:rFonts w:eastAsia="Calibri"/>
          <w:sz w:val="28"/>
          <w:szCs w:val="28"/>
        </w:rPr>
        <w:t xml:space="preserve">Необходимая валовая выручка </w:t>
      </w:r>
      <w:r w:rsidRPr="007524F0">
        <w:rPr>
          <w:sz w:val="28"/>
          <w:szCs w:val="28"/>
        </w:rPr>
        <w:t>ПАО «Камчатскэнерго»</w:t>
      </w:r>
      <w:r w:rsidRPr="007524F0">
        <w:rPr>
          <w:rFonts w:eastAsia="Calibri"/>
          <w:sz w:val="28"/>
          <w:szCs w:val="28"/>
        </w:rPr>
        <w:t xml:space="preserve"> </w:t>
      </w:r>
    </w:p>
    <w:p w:rsidR="005314FE" w:rsidRPr="007524F0" w:rsidRDefault="005314FE" w:rsidP="005314FE">
      <w:pPr>
        <w:jc w:val="center"/>
        <w:rPr>
          <w:rFonts w:eastAsia="Calibri"/>
          <w:sz w:val="28"/>
          <w:szCs w:val="28"/>
        </w:rPr>
      </w:pPr>
      <w:r w:rsidRPr="007524F0">
        <w:rPr>
          <w:rFonts w:eastAsia="Calibri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5314FE" w:rsidRPr="007524F0" w:rsidRDefault="005314FE" w:rsidP="005314FE">
      <w:pPr>
        <w:jc w:val="center"/>
        <w:rPr>
          <w:rFonts w:eastAsia="Calibri"/>
          <w:sz w:val="28"/>
          <w:szCs w:val="28"/>
        </w:rPr>
      </w:pPr>
      <w:r w:rsidRPr="007524F0">
        <w:rPr>
          <w:rFonts w:eastAsia="Calibri"/>
          <w:sz w:val="28"/>
          <w:szCs w:val="28"/>
        </w:rPr>
        <w:t>на 2023 – 2027 годы</w:t>
      </w:r>
    </w:p>
    <w:p w:rsidR="005314FE" w:rsidRPr="007524F0" w:rsidRDefault="005314FE" w:rsidP="005314FE">
      <w:pPr>
        <w:jc w:val="both"/>
        <w:rPr>
          <w:rFonts w:eastAsia="Calibri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61"/>
        <w:gridCol w:w="1701"/>
        <w:gridCol w:w="3402"/>
      </w:tblGrid>
      <w:tr w:rsidR="005314FE" w:rsidRPr="007524F0" w:rsidTr="00D76B7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НВВ сетевой организации</w:t>
            </w:r>
          </w:p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без учета оплаты потерь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тыс. руб.</w:t>
            </w:r>
          </w:p>
        </w:tc>
      </w:tr>
      <w:tr w:rsidR="005314FE" w:rsidRPr="007524F0" w:rsidTr="00D76B7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1.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ПАО «Камчатскэнерго»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8730B" w:rsidRDefault="005314FE" w:rsidP="00D76B72">
            <w:pPr>
              <w:jc w:val="center"/>
            </w:pPr>
            <w:r w:rsidRPr="0078730B">
              <w:t>5 438 856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2B2C29" w:rsidRDefault="00516619" w:rsidP="00D76B72">
            <w:pPr>
              <w:jc w:val="center"/>
            </w:pPr>
            <w:r w:rsidRPr="00516619">
              <w:rPr>
                <w:highlight w:val="yellow"/>
              </w:rPr>
              <w:t>5 830 454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5314FE" w:rsidRDefault="00516619" w:rsidP="00D76B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6 075 333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5314FE" w:rsidRDefault="00516619" w:rsidP="00D76B72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6 318 346</w:t>
            </w:r>
          </w:p>
        </w:tc>
      </w:tr>
      <w:tr w:rsidR="005314FE" w:rsidRPr="007524F0" w:rsidTr="00D76B72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E" w:rsidRPr="007524F0" w:rsidRDefault="005314FE" w:rsidP="00D76B72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7524F0" w:rsidRDefault="005314FE" w:rsidP="00D76B72">
            <w:pPr>
              <w:jc w:val="center"/>
              <w:rPr>
                <w:rFonts w:eastAsia="Calibri"/>
              </w:rPr>
            </w:pPr>
            <w:r w:rsidRPr="007524F0">
              <w:rPr>
                <w:rFonts w:eastAsia="Calibri"/>
              </w:rPr>
              <w:t>2027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FE" w:rsidRPr="005314FE" w:rsidRDefault="00516619" w:rsidP="00D76B7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6 571 080</w:t>
            </w:r>
            <w:bookmarkStart w:id="2" w:name="_GoBack"/>
            <w:bookmarkEnd w:id="2"/>
          </w:p>
        </w:tc>
      </w:tr>
    </w:tbl>
    <w:p w:rsidR="005314FE" w:rsidRDefault="005314FE" w:rsidP="005314FE">
      <w:pPr>
        <w:widowControl w:val="0"/>
        <w:rPr>
          <w:rFonts w:eastAsia="Calibri"/>
          <w:sz w:val="28"/>
          <w:szCs w:val="28"/>
          <w:highlight w:val="yellow"/>
        </w:rPr>
      </w:pPr>
    </w:p>
    <w:p w:rsidR="005314FE" w:rsidRPr="007F5FEF" w:rsidRDefault="005314FE" w:rsidP="005314FE">
      <w:pPr>
        <w:widowControl w:val="0"/>
        <w:jc w:val="right"/>
        <w:rPr>
          <w:rFonts w:eastAsia="Calibri"/>
          <w:sz w:val="28"/>
          <w:szCs w:val="28"/>
        </w:rPr>
      </w:pPr>
      <w:r w:rsidRPr="007F5FEF">
        <w:rPr>
          <w:rFonts w:eastAsia="Calibri"/>
          <w:sz w:val="28"/>
          <w:szCs w:val="28"/>
        </w:rPr>
        <w:t>».</w:t>
      </w: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5314FE" w:rsidRDefault="005314FE" w:rsidP="005314FE">
      <w:pPr>
        <w:widowControl w:val="0"/>
        <w:rPr>
          <w:rFonts w:eastAsia="Calibri"/>
          <w:sz w:val="28"/>
        </w:rPr>
      </w:pPr>
    </w:p>
    <w:p w:rsidR="008F2493" w:rsidRDefault="008F2493">
      <w:pPr>
        <w:rPr>
          <w:rFonts w:eastAsia="Calibri"/>
        </w:rPr>
      </w:pPr>
      <w:r>
        <w:rPr>
          <w:rFonts w:eastAsia="Calibri"/>
        </w:rPr>
        <w:br w:type="page"/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lastRenderedPageBreak/>
        <w:t xml:space="preserve">Приложение </w:t>
      </w:r>
      <w:r>
        <w:rPr>
          <w:rFonts w:eastAsia="Calibri"/>
          <w:sz w:val="28"/>
        </w:rPr>
        <w:t>2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>к постановлению Региональной службы</w:t>
      </w:r>
    </w:p>
    <w:p w:rsidR="00270BAE" w:rsidRPr="007524F0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по тарифам и ценам Камчатского края </w:t>
      </w:r>
    </w:p>
    <w:p w:rsidR="00270BAE" w:rsidRDefault="00270BAE" w:rsidP="005314FE">
      <w:pPr>
        <w:widowControl w:val="0"/>
        <w:ind w:left="4678"/>
        <w:rPr>
          <w:rFonts w:eastAsia="Calibri"/>
          <w:sz w:val="28"/>
        </w:rPr>
      </w:pPr>
      <w:r w:rsidRPr="007524F0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</w:t>
      </w:r>
      <w:r w:rsidRPr="007524F0">
        <w:rPr>
          <w:rFonts w:eastAsia="Calibri"/>
          <w:sz w:val="28"/>
        </w:rPr>
        <w:t>.</w:t>
      </w:r>
      <w:r w:rsidR="009205B4">
        <w:rPr>
          <w:rFonts w:eastAsia="Calibri"/>
          <w:sz w:val="28"/>
        </w:rPr>
        <w:t>10</w:t>
      </w:r>
      <w:r w:rsidRPr="007524F0">
        <w:rPr>
          <w:rFonts w:eastAsia="Calibri"/>
          <w:sz w:val="28"/>
        </w:rPr>
        <w:t>.202</w:t>
      </w:r>
      <w:r>
        <w:rPr>
          <w:rFonts w:eastAsia="Calibri"/>
          <w:sz w:val="28"/>
        </w:rPr>
        <w:t>3</w:t>
      </w:r>
      <w:r w:rsidRPr="007524F0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ХХХ</w:t>
      </w:r>
    </w:p>
    <w:p w:rsidR="00270BAE" w:rsidRDefault="00270BAE" w:rsidP="005314FE">
      <w:pPr>
        <w:widowControl w:val="0"/>
        <w:ind w:left="4678"/>
        <w:rPr>
          <w:sz w:val="28"/>
        </w:rPr>
      </w:pPr>
    </w:p>
    <w:p w:rsidR="0051363C" w:rsidRPr="007524F0" w:rsidRDefault="0051363C" w:rsidP="0051363C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524F0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  <w:vertAlign w:val="superscript"/>
        </w:rPr>
        <w:t>2</w:t>
      </w:r>
    </w:p>
    <w:p w:rsidR="0051363C" w:rsidRPr="007524F0" w:rsidRDefault="0051363C" w:rsidP="0051363C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 xml:space="preserve">к постановлению Региональной службы   </w:t>
      </w:r>
    </w:p>
    <w:p w:rsidR="0051363C" w:rsidRPr="007524F0" w:rsidRDefault="0051363C" w:rsidP="0051363C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по тарифам и ценам Камчатского края</w:t>
      </w:r>
    </w:p>
    <w:p w:rsidR="0051363C" w:rsidRPr="007524F0" w:rsidRDefault="0051363C" w:rsidP="0051363C">
      <w:pPr>
        <w:tabs>
          <w:tab w:val="left" w:pos="525"/>
          <w:tab w:val="right" w:pos="9355"/>
        </w:tabs>
        <w:ind w:left="467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от 29.11.2022 № 456</w:t>
      </w:r>
    </w:p>
    <w:p w:rsidR="0051363C" w:rsidRDefault="0051363C" w:rsidP="005314FE">
      <w:pPr>
        <w:widowControl w:val="0"/>
        <w:ind w:left="4678"/>
        <w:rPr>
          <w:sz w:val="28"/>
        </w:rPr>
      </w:pP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>Цены (тарифы) на электрическую энергию</w:t>
      </w: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 xml:space="preserve">(мощность), поставляемую ПАО «Камчатскэнерго» территориальным сетевым организациям </w:t>
      </w:r>
      <w:r w:rsidRPr="009205B4">
        <w:rPr>
          <w:bCs/>
          <w:szCs w:val="28"/>
        </w:rPr>
        <w:t>ООО «Терминал «Сероглазка», ООО «28-Электросеть», АО «ПКМТП», ООО «</w:t>
      </w:r>
      <w:proofErr w:type="spellStart"/>
      <w:r w:rsidRPr="009205B4">
        <w:rPr>
          <w:bCs/>
          <w:szCs w:val="28"/>
        </w:rPr>
        <w:t>Алеир</w:t>
      </w:r>
      <w:proofErr w:type="spellEnd"/>
      <w:r w:rsidRPr="009205B4">
        <w:rPr>
          <w:bCs/>
          <w:szCs w:val="28"/>
        </w:rPr>
        <w:t>», АО «Камчатские электрические сети им. И.А. Пискунова», ООО «41 Электрическая сеть», МУП «ТЭСК», ООО «РСО «Силуэт», ООО «МК Транс», ООО «Энергоресурс», АО «</w:t>
      </w:r>
      <w:proofErr w:type="spellStart"/>
      <w:r w:rsidRPr="009205B4">
        <w:rPr>
          <w:bCs/>
          <w:szCs w:val="28"/>
        </w:rPr>
        <w:t>Оборонэнерго</w:t>
      </w:r>
      <w:proofErr w:type="spellEnd"/>
      <w:r w:rsidRPr="009205B4">
        <w:rPr>
          <w:bCs/>
          <w:szCs w:val="28"/>
        </w:rPr>
        <w:t>» филиал «Камчатский», ООО «</w:t>
      </w:r>
      <w:proofErr w:type="spellStart"/>
      <w:r w:rsidRPr="009205B4">
        <w:rPr>
          <w:bCs/>
          <w:szCs w:val="28"/>
        </w:rPr>
        <w:t>Марлин</w:t>
      </w:r>
      <w:proofErr w:type="spellEnd"/>
      <w:r w:rsidRPr="009205B4">
        <w:rPr>
          <w:bCs/>
          <w:szCs w:val="28"/>
        </w:rPr>
        <w:t xml:space="preserve">», ООО «Электролиния», ООО «Камчатская энергетическая компания», ООО «Свободный порт Камчатка», ООО «Океан-Газ» </w:t>
      </w:r>
      <w:r w:rsidRPr="009205B4">
        <w:rPr>
          <w:szCs w:val="28"/>
        </w:rPr>
        <w:t>в технологически изолированных территориальных электроэнергетических системах и на территориях, не связанных с Единой энергетической системой России и технологически изолированными территориальными электроэнергетическими системами,</w:t>
      </w: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 xml:space="preserve">для целей компенсации потерь в электрических сетях, по договорам купли-продажи </w:t>
      </w:r>
    </w:p>
    <w:p w:rsidR="009205B4" w:rsidRPr="009205B4" w:rsidRDefault="009205B4" w:rsidP="009205B4">
      <w:pPr>
        <w:widowControl w:val="0"/>
        <w:jc w:val="center"/>
        <w:rPr>
          <w:szCs w:val="28"/>
        </w:rPr>
      </w:pPr>
      <w:r w:rsidRPr="009205B4">
        <w:rPr>
          <w:szCs w:val="28"/>
        </w:rPr>
        <w:t>(без НДС), на 202</w:t>
      </w:r>
      <w:r>
        <w:rPr>
          <w:szCs w:val="28"/>
        </w:rPr>
        <w:t>4</w:t>
      </w:r>
      <w:r w:rsidRPr="009205B4">
        <w:rPr>
          <w:szCs w:val="28"/>
        </w:rPr>
        <w:t xml:space="preserve"> год</w:t>
      </w:r>
    </w:p>
    <w:p w:rsidR="009205B4" w:rsidRPr="009205B4" w:rsidRDefault="009205B4" w:rsidP="009205B4">
      <w:pPr>
        <w:widowControl w:val="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2551"/>
        <w:gridCol w:w="2552"/>
      </w:tblGrid>
      <w:tr w:rsidR="009205B4" w:rsidRPr="009205B4" w:rsidTr="009205B4">
        <w:tc>
          <w:tcPr>
            <w:tcW w:w="3256" w:type="dxa"/>
            <w:vMerge w:val="restart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Показатель</w:t>
            </w:r>
          </w:p>
        </w:tc>
        <w:tc>
          <w:tcPr>
            <w:tcW w:w="1559" w:type="dxa"/>
            <w:vMerge w:val="restart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Единица измерения</w:t>
            </w:r>
          </w:p>
        </w:tc>
        <w:tc>
          <w:tcPr>
            <w:tcW w:w="2551" w:type="dxa"/>
          </w:tcPr>
          <w:p w:rsidR="009205B4" w:rsidRPr="009205B4" w:rsidRDefault="009205B4" w:rsidP="00516619">
            <w:pPr>
              <w:widowControl w:val="0"/>
              <w:jc w:val="center"/>
            </w:pPr>
            <w:r w:rsidRPr="009205B4">
              <w:t>01.01.202</w:t>
            </w:r>
            <w:r w:rsidR="00516619">
              <w:t>4</w:t>
            </w:r>
            <w:r w:rsidRPr="009205B4">
              <w:t xml:space="preserve"> – 3</w:t>
            </w:r>
            <w:r>
              <w:t>0</w:t>
            </w:r>
            <w:r w:rsidRPr="009205B4">
              <w:t>.</w:t>
            </w:r>
            <w:r>
              <w:t>06</w:t>
            </w:r>
            <w:r w:rsidRPr="009205B4">
              <w:t>.202</w:t>
            </w:r>
            <w:r w:rsidR="00516619">
              <w:t>4</w:t>
            </w:r>
          </w:p>
        </w:tc>
        <w:tc>
          <w:tcPr>
            <w:tcW w:w="2552" w:type="dxa"/>
          </w:tcPr>
          <w:p w:rsidR="009205B4" w:rsidRPr="009205B4" w:rsidRDefault="009205B4" w:rsidP="00516619">
            <w:pPr>
              <w:widowControl w:val="0"/>
              <w:jc w:val="center"/>
            </w:pPr>
            <w:r>
              <w:t>01.07</w:t>
            </w:r>
            <w:r w:rsidRPr="009205B4">
              <w:t>.202</w:t>
            </w:r>
            <w:r w:rsidR="00516619">
              <w:t>4</w:t>
            </w:r>
            <w:r w:rsidRPr="009205B4">
              <w:t xml:space="preserve"> – 3</w:t>
            </w:r>
            <w:r>
              <w:t>1</w:t>
            </w:r>
            <w:r w:rsidRPr="009205B4">
              <w:t>.</w:t>
            </w:r>
            <w:r>
              <w:t>12</w:t>
            </w:r>
            <w:r w:rsidRPr="009205B4">
              <w:t>.202</w:t>
            </w:r>
            <w:r w:rsidR="00516619">
              <w:t>4</w:t>
            </w:r>
          </w:p>
        </w:tc>
      </w:tr>
      <w:tr w:rsidR="009205B4" w:rsidRPr="009205B4" w:rsidTr="00696432">
        <w:tc>
          <w:tcPr>
            <w:tcW w:w="3256" w:type="dxa"/>
            <w:vMerge/>
          </w:tcPr>
          <w:p w:rsidR="009205B4" w:rsidRPr="009205B4" w:rsidRDefault="009205B4" w:rsidP="009205B4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9205B4" w:rsidRPr="009205B4" w:rsidRDefault="009205B4" w:rsidP="009205B4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Цена (тариф)</w:t>
            </w:r>
          </w:p>
        </w:tc>
        <w:tc>
          <w:tcPr>
            <w:tcW w:w="2552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Цена (тариф)</w:t>
            </w:r>
          </w:p>
        </w:tc>
      </w:tr>
      <w:tr w:rsidR="009205B4" w:rsidRPr="009205B4" w:rsidTr="009205B4">
        <w:trPr>
          <w:trHeight w:val="191"/>
        </w:trPr>
        <w:tc>
          <w:tcPr>
            <w:tcW w:w="3256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1</w:t>
            </w:r>
          </w:p>
        </w:tc>
        <w:tc>
          <w:tcPr>
            <w:tcW w:w="1559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2</w:t>
            </w:r>
          </w:p>
        </w:tc>
        <w:tc>
          <w:tcPr>
            <w:tcW w:w="2551" w:type="dxa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3</w:t>
            </w:r>
          </w:p>
        </w:tc>
        <w:tc>
          <w:tcPr>
            <w:tcW w:w="2552" w:type="dxa"/>
          </w:tcPr>
          <w:p w:rsidR="009205B4" w:rsidRPr="009205B4" w:rsidRDefault="009205B4" w:rsidP="009205B4">
            <w:pPr>
              <w:widowControl w:val="0"/>
              <w:jc w:val="center"/>
            </w:pPr>
            <w:r>
              <w:t>4</w:t>
            </w:r>
          </w:p>
        </w:tc>
      </w:tr>
      <w:tr w:rsidR="009205B4" w:rsidRPr="009205B4" w:rsidTr="009205B4">
        <w:trPr>
          <w:trHeight w:val="411"/>
        </w:trPr>
        <w:tc>
          <w:tcPr>
            <w:tcW w:w="3256" w:type="dxa"/>
            <w:vAlign w:val="center"/>
          </w:tcPr>
          <w:p w:rsidR="009205B4" w:rsidRPr="009205B4" w:rsidRDefault="009205B4" w:rsidP="009205B4">
            <w:pPr>
              <w:widowControl w:val="0"/>
              <w:jc w:val="center"/>
            </w:pPr>
            <w:proofErr w:type="spellStart"/>
            <w:r w:rsidRPr="009205B4">
              <w:t>Одноставочный</w:t>
            </w:r>
            <w:proofErr w:type="spellEnd"/>
            <w:r w:rsidRPr="009205B4">
              <w:t xml:space="preserve"> тариф</w:t>
            </w:r>
          </w:p>
        </w:tc>
        <w:tc>
          <w:tcPr>
            <w:tcW w:w="1559" w:type="dxa"/>
            <w:vAlign w:val="center"/>
          </w:tcPr>
          <w:p w:rsidR="009205B4" w:rsidRPr="009205B4" w:rsidRDefault="009205B4" w:rsidP="009205B4">
            <w:pPr>
              <w:widowControl w:val="0"/>
              <w:jc w:val="center"/>
            </w:pPr>
            <w:r w:rsidRPr="009205B4">
              <w:t>руб./</w:t>
            </w:r>
            <w:proofErr w:type="spellStart"/>
            <w:r w:rsidRPr="009205B4">
              <w:t>кВт·ч</w:t>
            </w:r>
            <w:proofErr w:type="spellEnd"/>
          </w:p>
        </w:tc>
        <w:tc>
          <w:tcPr>
            <w:tcW w:w="2551" w:type="dxa"/>
            <w:vAlign w:val="center"/>
          </w:tcPr>
          <w:p w:rsidR="009205B4" w:rsidRPr="009205B4" w:rsidRDefault="009205B4" w:rsidP="009205B4">
            <w:pPr>
              <w:widowControl w:val="0"/>
              <w:jc w:val="center"/>
              <w:rPr>
                <w:highlight w:val="yellow"/>
              </w:rPr>
            </w:pPr>
            <w:r w:rsidRPr="009205B4">
              <w:rPr>
                <w:highlight w:val="yellow"/>
              </w:rPr>
              <w:t>7,498</w:t>
            </w:r>
          </w:p>
        </w:tc>
        <w:tc>
          <w:tcPr>
            <w:tcW w:w="2552" w:type="dxa"/>
            <w:vAlign w:val="center"/>
          </w:tcPr>
          <w:p w:rsidR="009205B4" w:rsidRPr="009205B4" w:rsidRDefault="009205B4" w:rsidP="009205B4">
            <w:pPr>
              <w:widowControl w:val="0"/>
              <w:jc w:val="center"/>
              <w:rPr>
                <w:highlight w:val="yellow"/>
              </w:rPr>
            </w:pPr>
            <w:r w:rsidRPr="009205B4">
              <w:rPr>
                <w:highlight w:val="yellow"/>
              </w:rPr>
              <w:t>7,498</w:t>
            </w:r>
          </w:p>
        </w:tc>
      </w:tr>
    </w:tbl>
    <w:p w:rsidR="009205B4" w:rsidRPr="009205B4" w:rsidRDefault="009205B4" w:rsidP="009205B4">
      <w:pPr>
        <w:widowControl w:val="0"/>
        <w:ind w:firstLine="709"/>
        <w:jc w:val="both"/>
        <w:rPr>
          <w:sz w:val="20"/>
        </w:rPr>
      </w:pPr>
    </w:p>
    <w:p w:rsidR="009205B4" w:rsidRDefault="0051363C" w:rsidP="0051363C">
      <w:pPr>
        <w:widowControl w:val="0"/>
        <w:ind w:left="4678"/>
        <w:jc w:val="right"/>
        <w:rPr>
          <w:sz w:val="28"/>
        </w:rPr>
      </w:pPr>
      <w:r>
        <w:rPr>
          <w:sz w:val="28"/>
        </w:rPr>
        <w:t>».</w:t>
      </w:r>
    </w:p>
    <w:p w:rsidR="007524F0" w:rsidRDefault="007524F0" w:rsidP="0051363C">
      <w:pPr>
        <w:spacing w:after="160" w:line="264" w:lineRule="auto"/>
        <w:rPr>
          <w:sz w:val="28"/>
        </w:rPr>
        <w:sectPr w:rsidR="007524F0" w:rsidSect="005314FE">
          <w:pgSz w:w="11908" w:h="16848"/>
          <w:pgMar w:top="851" w:right="567" w:bottom="692" w:left="1418" w:header="709" w:footer="709" w:gutter="0"/>
          <w:cols w:space="720"/>
        </w:sectPr>
      </w:pPr>
      <w:r>
        <w:rPr>
          <w:sz w:val="28"/>
        </w:rPr>
        <w:br w:type="page"/>
      </w:r>
    </w:p>
    <w:p w:rsidR="007F5FEF" w:rsidRPr="007F5FEF" w:rsidRDefault="007F5FEF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F5FEF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7F5FEF" w:rsidRPr="007F5FEF" w:rsidRDefault="007F5FEF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F5FEF">
        <w:rPr>
          <w:bCs/>
          <w:sz w:val="28"/>
          <w:szCs w:val="28"/>
        </w:rPr>
        <w:t>к постановлению Региональной службы</w:t>
      </w:r>
    </w:p>
    <w:p w:rsidR="007F5FEF" w:rsidRPr="007F5FEF" w:rsidRDefault="007F5FEF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F5FEF">
        <w:rPr>
          <w:bCs/>
          <w:sz w:val="28"/>
          <w:szCs w:val="28"/>
        </w:rPr>
        <w:t xml:space="preserve">по тарифам и ценам Камчатского края </w:t>
      </w:r>
    </w:p>
    <w:p w:rsidR="007F5FEF" w:rsidRDefault="007F5FEF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F5FEF">
        <w:rPr>
          <w:bCs/>
          <w:sz w:val="28"/>
          <w:szCs w:val="28"/>
        </w:rPr>
        <w:t>от ХХ.</w:t>
      </w:r>
      <w:r w:rsidR="005314FE">
        <w:rPr>
          <w:bCs/>
          <w:sz w:val="28"/>
          <w:szCs w:val="28"/>
        </w:rPr>
        <w:t>10</w:t>
      </w:r>
      <w:r w:rsidRPr="007F5FEF">
        <w:rPr>
          <w:bCs/>
          <w:sz w:val="28"/>
          <w:szCs w:val="28"/>
        </w:rPr>
        <w:t>.2023 № ХХХ</w:t>
      </w:r>
    </w:p>
    <w:p w:rsidR="007F5FEF" w:rsidRDefault="007F5FEF" w:rsidP="007524F0">
      <w:pPr>
        <w:tabs>
          <w:tab w:val="left" w:pos="525"/>
          <w:tab w:val="right" w:pos="9540"/>
        </w:tabs>
        <w:ind w:left="4678"/>
        <w:jc w:val="both"/>
        <w:rPr>
          <w:bCs/>
          <w:sz w:val="28"/>
          <w:szCs w:val="28"/>
        </w:rPr>
      </w:pPr>
    </w:p>
    <w:p w:rsidR="0051363C" w:rsidRPr="007524F0" w:rsidRDefault="0051363C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Приложение 6</w:t>
      </w:r>
      <w:r>
        <w:rPr>
          <w:bCs/>
          <w:sz w:val="28"/>
          <w:szCs w:val="28"/>
          <w:vertAlign w:val="superscript"/>
        </w:rPr>
        <w:t>2</w:t>
      </w:r>
    </w:p>
    <w:p w:rsidR="0051363C" w:rsidRPr="007524F0" w:rsidRDefault="0051363C" w:rsidP="0051363C">
      <w:pPr>
        <w:tabs>
          <w:tab w:val="left" w:pos="525"/>
          <w:tab w:val="right" w:pos="9540"/>
        </w:tabs>
        <w:ind w:left="949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 xml:space="preserve">к постановлению Региональной службы   </w:t>
      </w:r>
    </w:p>
    <w:p w:rsidR="0051363C" w:rsidRPr="007524F0" w:rsidRDefault="0051363C" w:rsidP="0051363C">
      <w:pPr>
        <w:tabs>
          <w:tab w:val="left" w:pos="525"/>
          <w:tab w:val="right" w:pos="9355"/>
        </w:tabs>
        <w:ind w:left="949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по тарифам и ценам Камчатского края</w:t>
      </w:r>
    </w:p>
    <w:p w:rsidR="0051363C" w:rsidRPr="007524F0" w:rsidRDefault="0051363C" w:rsidP="0051363C">
      <w:pPr>
        <w:tabs>
          <w:tab w:val="left" w:pos="525"/>
          <w:tab w:val="right" w:pos="9355"/>
        </w:tabs>
        <w:ind w:left="9498"/>
        <w:jc w:val="both"/>
        <w:rPr>
          <w:bCs/>
          <w:sz w:val="28"/>
          <w:szCs w:val="28"/>
        </w:rPr>
      </w:pPr>
      <w:r w:rsidRPr="007524F0">
        <w:rPr>
          <w:bCs/>
          <w:sz w:val="28"/>
          <w:szCs w:val="28"/>
        </w:rPr>
        <w:t>от 29.11.2022 № 456</w:t>
      </w:r>
    </w:p>
    <w:p w:rsidR="006F35B2" w:rsidRPr="006F35B2" w:rsidRDefault="006F35B2" w:rsidP="006F35B2">
      <w:pPr>
        <w:spacing w:before="160" w:after="160"/>
        <w:jc w:val="center"/>
      </w:pPr>
      <w:r w:rsidRPr="006F35B2">
        <w:t>Сбытовые надбавки гарантирующего поставщика электрической энергии</w:t>
      </w:r>
      <w:r w:rsidRPr="006F35B2">
        <w:rPr>
          <w:b/>
        </w:rPr>
        <w:t xml:space="preserve"> </w:t>
      </w:r>
      <w:r w:rsidRPr="006F35B2">
        <w:t>ПАО «Камчатскэнерго», поставляющего электрическую энергию (мощность) на розничном рынке, на 2023 год (без НДС)</w:t>
      </w:r>
    </w:p>
    <w:p w:rsidR="009F2E61" w:rsidRPr="009F2E61" w:rsidRDefault="009F2E61" w:rsidP="006F35B2">
      <w:pPr>
        <w:jc w:val="right"/>
      </w:pPr>
      <w:r w:rsidRPr="009F2E61">
        <w:t>  руб./</w:t>
      </w:r>
      <w:proofErr w:type="spellStart"/>
      <w:r w:rsidRPr="009F2E61">
        <w:t>кВт·ч</w:t>
      </w:r>
      <w:proofErr w:type="spellEnd"/>
      <w:r w:rsidRPr="009F2E61">
        <w:t xml:space="preserve"> (без НДС) </w:t>
      </w:r>
    </w:p>
    <w:tbl>
      <w:tblPr>
        <w:tblW w:w="15003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601"/>
        <w:gridCol w:w="1276"/>
        <w:gridCol w:w="1276"/>
        <w:gridCol w:w="1134"/>
        <w:gridCol w:w="1275"/>
        <w:gridCol w:w="1134"/>
        <w:gridCol w:w="1276"/>
        <w:gridCol w:w="1134"/>
        <w:gridCol w:w="1283"/>
        <w:gridCol w:w="1106"/>
        <w:gridCol w:w="1155"/>
      </w:tblGrid>
      <w:tr w:rsidR="006F35B2" w:rsidRPr="009F2E61" w:rsidTr="006F35B2">
        <w:trPr>
          <w:trHeight w:val="308"/>
        </w:trPr>
        <w:tc>
          <w:tcPr>
            <w:tcW w:w="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N п/п 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Наименование гарантирующего поставщика </w:t>
            </w:r>
          </w:p>
        </w:tc>
        <w:tc>
          <w:tcPr>
            <w:tcW w:w="1204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Сбытовая надбавка </w:t>
            </w:r>
          </w:p>
        </w:tc>
      </w:tr>
      <w:tr w:rsidR="006F35B2" w:rsidRPr="009F2E61" w:rsidTr="006F35B2">
        <w:trPr>
          <w:trHeight w:val="1689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rPr>
                <w:sz w:val="22"/>
              </w:rPr>
            </w:pPr>
          </w:p>
        </w:tc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>тарифная группа потребителей "сетевые организации, покупающие электрическую энергию для компенсации потерь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6F35B2">
              <w:rPr>
                <w:sz w:val="22"/>
              </w:rPr>
              <w:t>энергопринимающих</w:t>
            </w:r>
            <w:proofErr w:type="spellEnd"/>
            <w:r w:rsidRPr="006F35B2">
              <w:rPr>
                <w:sz w:val="22"/>
              </w:rPr>
              <w:t xml:space="preserve"> устройств менее 670 кВт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6F35B2">
              <w:rPr>
                <w:sz w:val="22"/>
              </w:rPr>
              <w:t>энергопринимающих</w:t>
            </w:r>
            <w:proofErr w:type="spellEnd"/>
            <w:r w:rsidRPr="006F35B2">
              <w:rPr>
                <w:sz w:val="22"/>
              </w:rPr>
              <w:t xml:space="preserve"> устройств от 670 кВт до 10 МВт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6F35B2" w:rsidP="006F35B2">
            <w:pPr>
              <w:jc w:val="center"/>
              <w:rPr>
                <w:sz w:val="22"/>
              </w:rPr>
            </w:pPr>
            <w:r w:rsidRPr="006F35B2">
              <w:rPr>
                <w:sz w:val="22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6F35B2">
              <w:rPr>
                <w:sz w:val="22"/>
              </w:rPr>
              <w:t>энергопринимающих</w:t>
            </w:r>
            <w:proofErr w:type="spellEnd"/>
            <w:r w:rsidRPr="006F35B2">
              <w:rPr>
                <w:sz w:val="22"/>
              </w:rPr>
              <w:t xml:space="preserve"> устройств не менее 10 МВт</w:t>
            </w:r>
          </w:p>
        </w:tc>
      </w:tr>
      <w:tr w:rsidR="006F35B2" w:rsidRPr="009F2E61" w:rsidTr="006F35B2">
        <w:trPr>
          <w:trHeight w:val="555"/>
        </w:trPr>
        <w:tc>
          <w:tcPr>
            <w:tcW w:w="3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9F2E61"/>
        </w:tc>
        <w:tc>
          <w:tcPr>
            <w:tcW w:w="2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9F2E61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 полугодие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II полугодие </w:t>
            </w:r>
          </w:p>
        </w:tc>
      </w:tr>
      <w:tr w:rsidR="006F35B2" w:rsidRPr="009F2E61" w:rsidTr="006F35B2">
        <w:trPr>
          <w:trHeight w:val="217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9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10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11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E61" w:rsidRPr="009F2E61" w:rsidRDefault="009F2E61" w:rsidP="006F35B2">
            <w:pPr>
              <w:jc w:val="center"/>
              <w:rPr>
                <w:sz w:val="22"/>
              </w:rPr>
            </w:pPr>
            <w:r w:rsidRPr="009F2E61">
              <w:rPr>
                <w:sz w:val="22"/>
              </w:rPr>
              <w:t xml:space="preserve">12 </w:t>
            </w:r>
          </w:p>
        </w:tc>
      </w:tr>
      <w:tr w:rsidR="006F35B2" w:rsidRPr="009F2E61" w:rsidTr="006F35B2">
        <w:trPr>
          <w:trHeight w:val="32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B2" w:rsidRDefault="006F35B2" w:rsidP="006F35B2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B2" w:rsidRDefault="006F35B2" w:rsidP="006F35B2">
            <w:pPr>
              <w:widowControl w:val="0"/>
              <w:jc w:val="center"/>
            </w:pPr>
            <w:r>
              <w:t>ПАО «Камчатскэнерго»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9D65D4" w:rsidRDefault="006F35B2" w:rsidP="006F35B2">
            <w:pPr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9D65D4" w:rsidRDefault="006F35B2" w:rsidP="006F35B2">
            <w:pPr>
              <w:widowControl w:val="0"/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</w:t>
            </w:r>
            <w:r w:rsidRPr="009D65D4">
              <w:rPr>
                <w:highlight w:val="yellow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9D65D4" w:rsidRDefault="006F35B2" w:rsidP="006F35B2">
            <w:pPr>
              <w:widowControl w:val="0"/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9D65D4" w:rsidRDefault="006F35B2" w:rsidP="006F35B2">
            <w:pPr>
              <w:widowControl w:val="0"/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</w:t>
            </w:r>
            <w:r w:rsidRPr="009D65D4">
              <w:rPr>
                <w:highlight w:val="yellow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B2" w:rsidRPr="009D65D4" w:rsidRDefault="006F35B2" w:rsidP="006F35B2">
            <w:pPr>
              <w:widowControl w:val="0"/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9D65D4" w:rsidRDefault="006F35B2" w:rsidP="006F35B2">
            <w:pPr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</w:t>
            </w:r>
            <w:r w:rsidRPr="009D65D4">
              <w:rPr>
                <w:highlight w:val="yellow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9D65D4" w:rsidRDefault="006F35B2" w:rsidP="006F35B2">
            <w:pPr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0,365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9D65D4" w:rsidRDefault="006F35B2" w:rsidP="006F35B2">
            <w:pPr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</w:t>
            </w:r>
            <w:r w:rsidRPr="009D65D4">
              <w:rPr>
                <w:highlight w:val="yellow"/>
              </w:rPr>
              <w:t>98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9D65D4" w:rsidRDefault="006F35B2" w:rsidP="006F35B2">
            <w:pPr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5B2" w:rsidRPr="009D65D4" w:rsidRDefault="006F35B2" w:rsidP="006F35B2">
            <w:pPr>
              <w:jc w:val="center"/>
              <w:rPr>
                <w:highlight w:val="yellow"/>
              </w:rPr>
            </w:pPr>
            <w:r w:rsidRPr="009D65D4">
              <w:rPr>
                <w:highlight w:val="yellow"/>
              </w:rPr>
              <w:t>0,3</w:t>
            </w:r>
            <w:r w:rsidRPr="009D65D4">
              <w:rPr>
                <w:highlight w:val="yellow"/>
              </w:rPr>
              <w:t>98</w:t>
            </w:r>
          </w:p>
        </w:tc>
      </w:tr>
    </w:tbl>
    <w:p w:rsidR="006F35B2" w:rsidRDefault="006F35B2" w:rsidP="006F35B2">
      <w:pPr>
        <w:tabs>
          <w:tab w:val="left" w:pos="525"/>
          <w:tab w:val="right" w:pos="9355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Примечание: </w:t>
      </w:r>
    </w:p>
    <w:p w:rsidR="006F35B2" w:rsidRDefault="006F35B2" w:rsidP="006F35B2">
      <w:pPr>
        <w:jc w:val="both"/>
        <w:rPr>
          <w:sz w:val="20"/>
          <w:szCs w:val="20"/>
        </w:rPr>
      </w:pPr>
      <w:r>
        <w:rPr>
          <w:sz w:val="20"/>
          <w:szCs w:val="20"/>
        </w:rPr>
        <w:t>&lt;1&gt; Тариф для населения с учетом применения понижающего коэффициента 0,7, в соответствии с пунктом 71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№1178:</w:t>
      </w:r>
    </w:p>
    <w:p w:rsidR="006F35B2" w:rsidRDefault="006F35B2" w:rsidP="006F35B2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с 01.01.202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по </w:t>
      </w:r>
      <w:r>
        <w:rPr>
          <w:sz w:val="20"/>
          <w:szCs w:val="20"/>
        </w:rPr>
        <w:t>30</w:t>
      </w:r>
      <w:r>
        <w:rPr>
          <w:sz w:val="20"/>
          <w:szCs w:val="20"/>
        </w:rPr>
        <w:t>.</w:t>
      </w:r>
      <w:r>
        <w:rPr>
          <w:sz w:val="20"/>
          <w:szCs w:val="20"/>
        </w:rPr>
        <w:t>06</w:t>
      </w:r>
      <w:r>
        <w:rPr>
          <w:sz w:val="20"/>
          <w:szCs w:val="20"/>
        </w:rPr>
        <w:t>.202</w:t>
      </w:r>
      <w:r w:rsidR="00CA2CF7"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Pr="006F35B2">
        <w:rPr>
          <w:sz w:val="20"/>
          <w:szCs w:val="20"/>
          <w:highlight w:val="yellow"/>
        </w:rPr>
        <w:t>0,307</w:t>
      </w:r>
      <w:r>
        <w:rPr>
          <w:sz w:val="20"/>
          <w:szCs w:val="20"/>
        </w:rPr>
        <w:t xml:space="preserve"> руб./</w:t>
      </w:r>
      <w:proofErr w:type="spellStart"/>
      <w:r>
        <w:rPr>
          <w:sz w:val="20"/>
          <w:szCs w:val="20"/>
        </w:rPr>
        <w:t>кВтч</w:t>
      </w:r>
      <w:proofErr w:type="spellEnd"/>
      <w:r>
        <w:rPr>
          <w:sz w:val="20"/>
          <w:szCs w:val="20"/>
        </w:rPr>
        <w:t xml:space="preserve"> (с НДС).</w:t>
      </w:r>
    </w:p>
    <w:p w:rsidR="006F35B2" w:rsidRDefault="006F35B2" w:rsidP="006F35B2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с 01.0</w:t>
      </w:r>
      <w:r>
        <w:rPr>
          <w:sz w:val="20"/>
          <w:szCs w:val="20"/>
        </w:rPr>
        <w:t>7</w:t>
      </w:r>
      <w:r>
        <w:rPr>
          <w:sz w:val="20"/>
          <w:szCs w:val="20"/>
        </w:rPr>
        <w:t xml:space="preserve">.2024 по </w:t>
      </w:r>
      <w:r>
        <w:rPr>
          <w:sz w:val="20"/>
          <w:szCs w:val="20"/>
        </w:rPr>
        <w:t>31</w:t>
      </w:r>
      <w:r>
        <w:rPr>
          <w:sz w:val="20"/>
          <w:szCs w:val="20"/>
        </w:rPr>
        <w:t>.</w:t>
      </w:r>
      <w:r>
        <w:rPr>
          <w:sz w:val="20"/>
          <w:szCs w:val="20"/>
        </w:rPr>
        <w:t>12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Pr="006F35B2">
        <w:rPr>
          <w:sz w:val="20"/>
          <w:szCs w:val="20"/>
          <w:highlight w:val="yellow"/>
        </w:rPr>
        <w:t>0,307</w:t>
      </w:r>
      <w:r>
        <w:rPr>
          <w:sz w:val="20"/>
          <w:szCs w:val="20"/>
        </w:rPr>
        <w:t xml:space="preserve"> руб./</w:t>
      </w:r>
      <w:proofErr w:type="spellStart"/>
      <w:r>
        <w:rPr>
          <w:sz w:val="20"/>
          <w:szCs w:val="20"/>
        </w:rPr>
        <w:t>кВтч</w:t>
      </w:r>
      <w:proofErr w:type="spellEnd"/>
      <w:r>
        <w:rPr>
          <w:sz w:val="20"/>
          <w:szCs w:val="20"/>
        </w:rPr>
        <w:t xml:space="preserve"> (с НДС).</w:t>
      </w:r>
    </w:p>
    <w:p w:rsidR="009F2E61" w:rsidRDefault="009D65D4" w:rsidP="009D65D4">
      <w:pPr>
        <w:jc w:val="right"/>
        <w:rPr>
          <w:rFonts w:eastAsia="Calibri"/>
          <w:sz w:val="28"/>
          <w:szCs w:val="28"/>
          <w:highlight w:val="yellow"/>
        </w:rPr>
      </w:pPr>
      <w:r w:rsidRPr="009D65D4">
        <w:rPr>
          <w:sz w:val="28"/>
          <w:szCs w:val="28"/>
        </w:rPr>
        <w:t>».</w:t>
      </w:r>
    </w:p>
    <w:sectPr w:rsidR="009F2E61" w:rsidSect="0051363C">
      <w:pgSz w:w="16838" w:h="11906" w:orient="landscape"/>
      <w:pgMar w:top="170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5E9"/>
    <w:multiLevelType w:val="hybridMultilevel"/>
    <w:tmpl w:val="F752AD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3FE9"/>
    <w:multiLevelType w:val="hybridMultilevel"/>
    <w:tmpl w:val="BEF6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45F5"/>
    <w:multiLevelType w:val="multilevel"/>
    <w:tmpl w:val="042C63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russianLower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7A714A"/>
    <w:multiLevelType w:val="hybridMultilevel"/>
    <w:tmpl w:val="31C22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8"/>
    <w:rsid w:val="00270BAE"/>
    <w:rsid w:val="002B2C29"/>
    <w:rsid w:val="0051363C"/>
    <w:rsid w:val="00516619"/>
    <w:rsid w:val="005314FE"/>
    <w:rsid w:val="005D42B8"/>
    <w:rsid w:val="006F35B2"/>
    <w:rsid w:val="007524F0"/>
    <w:rsid w:val="0078730B"/>
    <w:rsid w:val="007F5FEF"/>
    <w:rsid w:val="008F2493"/>
    <w:rsid w:val="009205B4"/>
    <w:rsid w:val="009D65D4"/>
    <w:rsid w:val="009F2E61"/>
    <w:rsid w:val="00B61C00"/>
    <w:rsid w:val="00CA2CF7"/>
    <w:rsid w:val="00EF4C2C"/>
    <w:rsid w:val="00F97783"/>
    <w:rsid w:val="00FB1A9A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884C"/>
  <w15:docId w15:val="{6E0B6554-1EEB-4B8C-AD89-445473A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F2E6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6">
    <w:name w:val="Абзац списка Знак"/>
    <w:basedOn w:val="12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2"/>
    <w:link w:val="a8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b">
    <w:name w:val="Верхний колонтитул Знак"/>
    <w:basedOn w:val="12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Plain Text"/>
    <w:basedOn w:val="a"/>
    <w:link w:val="af1"/>
    <w:rPr>
      <w:rFonts w:ascii="Calibri" w:hAnsi="Calibri"/>
      <w:color w:val="000000"/>
      <w:sz w:val="22"/>
      <w:szCs w:val="20"/>
    </w:rPr>
  </w:style>
  <w:style w:type="character" w:customStyle="1" w:styleId="af1">
    <w:name w:val="Текст Знак"/>
    <w:basedOn w:val="12"/>
    <w:link w:val="af0"/>
    <w:rPr>
      <w:rFonts w:ascii="Calibri" w:hAnsi="Calibri"/>
    </w:rPr>
  </w:style>
  <w:style w:type="paragraph" w:customStyle="1" w:styleId="1f2">
    <w:name w:val="Обычный1"/>
    <w:link w:val="1"/>
  </w:style>
  <w:style w:type="character" w:customStyle="1" w:styleId="1">
    <w:name w:val="Обычный1"/>
    <w:link w:val="1f2"/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8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27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4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7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3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29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6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10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Валентина Александровна</cp:lastModifiedBy>
  <cp:revision>12</cp:revision>
  <cp:lastPrinted>2023-09-11T05:30:00Z</cp:lastPrinted>
  <dcterms:created xsi:type="dcterms:W3CDTF">2023-09-11T04:48:00Z</dcterms:created>
  <dcterms:modified xsi:type="dcterms:W3CDTF">2023-10-20T06:16:00Z</dcterms:modified>
</cp:coreProperties>
</file>