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A519F8" w:rsidRPr="00A519F8" w:rsidRDefault="00A519F8" w:rsidP="00B94BFA">
            <w:pPr>
              <w:ind w:left="30" w:firstLine="713"/>
              <w:jc w:val="center"/>
              <w:rPr>
                <w:rFonts w:ascii="Times New Roman" w:hAnsi="Times New Roman"/>
                <w:b/>
                <w:sz w:val="28"/>
              </w:rPr>
            </w:pPr>
            <w:r>
              <w:rPr>
                <w:rFonts w:ascii="Times New Roman" w:hAnsi="Times New Roman"/>
                <w:b/>
                <w:sz w:val="28"/>
              </w:rPr>
              <w:t>О внесении изменений в постановление Региональной службы по тарифам и ценам Камчатского края от 28.11.2022 № 439 «</w:t>
            </w:r>
            <w:r w:rsidRPr="00A519F8">
              <w:rPr>
                <w:rFonts w:ascii="Times New Roman" w:hAnsi="Times New Roman"/>
                <w:b/>
                <w:sz w:val="28"/>
              </w:rPr>
              <w:t xml:space="preserve">Об утверждении цен (тарифов) на электрическую энергию, поставляемую </w:t>
            </w:r>
          </w:p>
          <w:p w:rsidR="00A519F8" w:rsidRPr="00A519F8" w:rsidRDefault="00A519F8" w:rsidP="00A519F8">
            <w:pPr>
              <w:ind w:left="30"/>
              <w:jc w:val="center"/>
              <w:rPr>
                <w:rFonts w:ascii="Times New Roman" w:hAnsi="Times New Roman"/>
                <w:b/>
                <w:sz w:val="28"/>
              </w:rPr>
            </w:pPr>
            <w:r w:rsidRPr="00A519F8">
              <w:rPr>
                <w:rFonts w:ascii="Times New Roman" w:hAnsi="Times New Roman"/>
                <w:b/>
                <w:sz w:val="28"/>
              </w:rPr>
              <w:t xml:space="preserve">Акционерным обществом «Камчатские электрические сети им. И.А. Пискунова» потребителям Камчатского края на </w:t>
            </w:r>
          </w:p>
          <w:p w:rsidR="00DC0247" w:rsidRDefault="00A519F8" w:rsidP="00A519F8">
            <w:pPr>
              <w:ind w:left="30"/>
              <w:jc w:val="center"/>
              <w:rPr>
                <w:rFonts w:ascii="Times New Roman" w:hAnsi="Times New Roman"/>
                <w:b/>
                <w:sz w:val="28"/>
              </w:rPr>
            </w:pPr>
            <w:r w:rsidRPr="00A519F8">
              <w:rPr>
                <w:rFonts w:ascii="Times New Roman" w:hAnsi="Times New Roman"/>
                <w:b/>
                <w:sz w:val="28"/>
              </w:rPr>
              <w:t>2023-2027 годы</w:t>
            </w:r>
            <w:r>
              <w:rPr>
                <w:rFonts w:ascii="Times New Roman" w:hAnsi="Times New Roman"/>
                <w:b/>
                <w:sz w:val="28"/>
              </w:rPr>
              <w:t>»</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B94BFA" w:rsidRDefault="00B94BFA" w:rsidP="00C112C6">
      <w:pPr>
        <w:pStyle w:val="af1"/>
        <w:numPr>
          <w:ilvl w:val="0"/>
          <w:numId w:val="1"/>
        </w:numPr>
        <w:suppressAutoHyphens/>
        <w:adjustRightInd w:val="0"/>
        <w:ind w:left="0" w:firstLine="709"/>
        <w:jc w:val="both"/>
        <w:rPr>
          <w:bCs/>
          <w:szCs w:val="28"/>
        </w:rPr>
      </w:pPr>
      <w:r>
        <w:rPr>
          <w:szCs w:val="28"/>
        </w:rPr>
        <w:t xml:space="preserve">Внести </w:t>
      </w:r>
      <w:r>
        <w:rPr>
          <w:bCs/>
          <w:szCs w:val="28"/>
        </w:rPr>
        <w:t xml:space="preserve">постановление Региональной службы по тарифам и ценам Камчатского края </w:t>
      </w:r>
      <w:r w:rsidRPr="00B94BFA">
        <w:rPr>
          <w:bCs/>
          <w:szCs w:val="28"/>
        </w:rPr>
        <w:t>от 28.11.2022 № 439 «Об утверждении цен (тарифов) на электрическую энергию, поставляемую Акционерным обществом «Камчатские электрические сети им. И.А. Пискунова» потребителям Камчатского края на 2023-2027 годы» следующие изменения:</w:t>
      </w:r>
    </w:p>
    <w:p w:rsidR="00B94BFA" w:rsidRPr="00B94BFA" w:rsidRDefault="00B94BFA" w:rsidP="00C112C6">
      <w:pPr>
        <w:numPr>
          <w:ilvl w:val="0"/>
          <w:numId w:val="2"/>
        </w:numPr>
        <w:tabs>
          <w:tab w:val="left" w:pos="851"/>
        </w:tabs>
        <w:spacing w:after="0" w:line="240" w:lineRule="auto"/>
        <w:ind w:left="1134" w:hanging="476"/>
        <w:contextualSpacing/>
        <w:jc w:val="both"/>
        <w:rPr>
          <w:rFonts w:ascii="Times New Roman" w:hAnsi="Times New Roman"/>
          <w:bCs/>
          <w:sz w:val="28"/>
          <w:szCs w:val="28"/>
        </w:rPr>
      </w:pPr>
      <w:r w:rsidRPr="00B94BFA">
        <w:rPr>
          <w:rFonts w:ascii="Times New Roman" w:hAnsi="Times New Roman"/>
          <w:sz w:val="28"/>
          <w:szCs w:val="28"/>
        </w:rPr>
        <w:t xml:space="preserve">дополнить </w:t>
      </w:r>
      <w:r w:rsidRPr="00B94BFA">
        <w:rPr>
          <w:rFonts w:ascii="Times New Roman" w:hAnsi="Times New Roman"/>
          <w:bCs/>
          <w:sz w:val="28"/>
          <w:szCs w:val="28"/>
        </w:rPr>
        <w:t>частью 3</w:t>
      </w:r>
      <w:r>
        <w:rPr>
          <w:rFonts w:ascii="Times New Roman" w:hAnsi="Times New Roman"/>
          <w:bCs/>
          <w:sz w:val="28"/>
          <w:szCs w:val="28"/>
          <w:vertAlign w:val="superscript"/>
        </w:rPr>
        <w:t>1</w:t>
      </w:r>
      <w:r w:rsidRPr="00B94BFA">
        <w:rPr>
          <w:rFonts w:ascii="Times New Roman" w:hAnsi="Times New Roman"/>
          <w:bCs/>
          <w:sz w:val="28"/>
          <w:szCs w:val="28"/>
        </w:rPr>
        <w:t xml:space="preserve"> следующего содержания:</w:t>
      </w:r>
    </w:p>
    <w:p w:rsidR="00D9358F" w:rsidRDefault="00B94BFA" w:rsidP="00C112C6">
      <w:pPr>
        <w:spacing w:after="0"/>
        <w:ind w:firstLine="709"/>
        <w:contextualSpacing/>
        <w:jc w:val="both"/>
        <w:rPr>
          <w:rFonts w:ascii="Times New Roman" w:hAnsi="Times New Roman"/>
          <w:bCs/>
          <w:sz w:val="28"/>
          <w:szCs w:val="28"/>
        </w:rPr>
      </w:pPr>
      <w:r w:rsidRPr="00B94BFA">
        <w:rPr>
          <w:rFonts w:ascii="Times New Roman" w:hAnsi="Times New Roman"/>
          <w:bCs/>
          <w:sz w:val="28"/>
          <w:szCs w:val="28"/>
        </w:rPr>
        <w:t>«3</w:t>
      </w:r>
      <w:r w:rsidR="00085A92">
        <w:rPr>
          <w:rFonts w:ascii="Times New Roman" w:hAnsi="Times New Roman"/>
          <w:bCs/>
          <w:sz w:val="28"/>
          <w:szCs w:val="28"/>
          <w:vertAlign w:val="superscript"/>
        </w:rPr>
        <w:t>1</w:t>
      </w:r>
      <w:r w:rsidRPr="00B94BFA">
        <w:rPr>
          <w:rFonts w:ascii="Times New Roman" w:hAnsi="Times New Roman"/>
          <w:bCs/>
          <w:sz w:val="28"/>
          <w:szCs w:val="28"/>
        </w:rPr>
        <w:t xml:space="preserve">. </w:t>
      </w:r>
      <w:r w:rsidRPr="00B94BFA">
        <w:rPr>
          <w:rFonts w:ascii="Times New Roman" w:hAnsi="Times New Roman"/>
          <w:sz w:val="28"/>
          <w:szCs w:val="28"/>
          <w:lang w:val="x-none"/>
        </w:rPr>
        <w:t xml:space="preserve">Утвердить и ввести в действие </w:t>
      </w:r>
      <w:r w:rsidRPr="00B94BFA">
        <w:rPr>
          <w:rFonts w:ascii="Times New Roman" w:hAnsi="Times New Roman"/>
          <w:sz w:val="28"/>
          <w:szCs w:val="28"/>
        </w:rPr>
        <w:t xml:space="preserve">на 2024 год цены (тарифы) на электрическую энергию (мощность), поставляемую </w:t>
      </w:r>
      <w:r w:rsidRPr="00B94BFA">
        <w:rPr>
          <w:rFonts w:ascii="Times New Roman" w:hAnsi="Times New Roman"/>
          <w:bCs/>
          <w:sz w:val="28"/>
          <w:szCs w:val="28"/>
        </w:rPr>
        <w:t xml:space="preserve">Акционерным обществом «Камчатские электрические сети им. И.А. Пискунова» </w:t>
      </w:r>
      <w:r w:rsidRPr="00B94BFA">
        <w:rPr>
          <w:rFonts w:ascii="Times New Roman" w:hAnsi="Times New Roman"/>
          <w:sz w:val="28"/>
          <w:szCs w:val="28"/>
        </w:rPr>
        <w:t xml:space="preserve">покупателям на розничных рынках, расположенных на территориях, технологически не </w:t>
      </w:r>
      <w:r w:rsidRPr="00B94BFA">
        <w:rPr>
          <w:rFonts w:ascii="Times New Roman" w:hAnsi="Times New Roman"/>
          <w:sz w:val="28"/>
          <w:szCs w:val="28"/>
        </w:rPr>
        <w:lastRenderedPageBreak/>
        <w:t>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Pr="00B94BFA">
        <w:rPr>
          <w:rFonts w:ascii="Times New Roman" w:hAnsi="Times New Roman"/>
          <w:bCs/>
          <w:sz w:val="28"/>
          <w:szCs w:val="28"/>
        </w:rPr>
        <w:t xml:space="preserve">, </w:t>
      </w:r>
      <w:r w:rsidRPr="00B94BFA">
        <w:rPr>
          <w:rFonts w:ascii="Times New Roman" w:hAnsi="Times New Roman"/>
          <w:sz w:val="28"/>
          <w:szCs w:val="28"/>
        </w:rPr>
        <w:t>согласно приложению</w:t>
      </w:r>
      <w:r w:rsidRPr="00B94BFA">
        <w:rPr>
          <w:rFonts w:ascii="Times New Roman" w:hAnsi="Times New Roman"/>
          <w:bCs/>
          <w:sz w:val="28"/>
          <w:szCs w:val="28"/>
        </w:rPr>
        <w:t xml:space="preserve"> </w:t>
      </w:r>
      <w:r>
        <w:rPr>
          <w:rFonts w:ascii="Times New Roman" w:hAnsi="Times New Roman"/>
          <w:bCs/>
          <w:sz w:val="28"/>
          <w:szCs w:val="28"/>
        </w:rPr>
        <w:t>6</w:t>
      </w:r>
      <w:r w:rsidRPr="00B94BFA">
        <w:rPr>
          <w:rFonts w:ascii="Times New Roman" w:hAnsi="Times New Roman"/>
          <w:bCs/>
          <w:sz w:val="28"/>
          <w:szCs w:val="28"/>
        </w:rPr>
        <w:t>»;</w:t>
      </w:r>
    </w:p>
    <w:p w:rsidR="00D9358F" w:rsidRPr="00D9358F" w:rsidRDefault="00D9358F" w:rsidP="00C112C6">
      <w:pPr>
        <w:pStyle w:val="af1"/>
        <w:numPr>
          <w:ilvl w:val="0"/>
          <w:numId w:val="2"/>
        </w:numPr>
        <w:jc w:val="both"/>
        <w:rPr>
          <w:bCs/>
          <w:szCs w:val="28"/>
        </w:rPr>
      </w:pPr>
      <w:r w:rsidRPr="00D9358F">
        <w:rPr>
          <w:szCs w:val="28"/>
        </w:rPr>
        <w:t xml:space="preserve">дополнить </w:t>
      </w:r>
      <w:r w:rsidRPr="00D9358F">
        <w:rPr>
          <w:bCs/>
          <w:szCs w:val="28"/>
        </w:rPr>
        <w:t>частью 4</w:t>
      </w:r>
      <w:r w:rsidR="00085A92">
        <w:rPr>
          <w:bCs/>
          <w:szCs w:val="28"/>
          <w:vertAlign w:val="superscript"/>
        </w:rPr>
        <w:t>1</w:t>
      </w:r>
      <w:r w:rsidRPr="00D9358F">
        <w:rPr>
          <w:bCs/>
          <w:szCs w:val="28"/>
        </w:rPr>
        <w:t xml:space="preserve"> следующего содержания:</w:t>
      </w:r>
    </w:p>
    <w:p w:rsidR="00D9358F" w:rsidRPr="00D9358F" w:rsidRDefault="00D9358F" w:rsidP="00C112C6">
      <w:pPr>
        <w:tabs>
          <w:tab w:val="left" w:pos="331"/>
        </w:tabs>
        <w:spacing w:after="0"/>
        <w:ind w:firstLine="709"/>
        <w:contextualSpacing/>
        <w:jc w:val="both"/>
        <w:rPr>
          <w:rFonts w:ascii="Times New Roman" w:hAnsi="Times New Roman"/>
          <w:sz w:val="28"/>
          <w:szCs w:val="28"/>
          <w:lang w:val="x-none"/>
        </w:rPr>
      </w:pPr>
      <w:r w:rsidRPr="00D9358F">
        <w:rPr>
          <w:rFonts w:ascii="Times New Roman" w:hAnsi="Times New Roman"/>
          <w:bCs/>
          <w:sz w:val="28"/>
          <w:szCs w:val="28"/>
        </w:rPr>
        <w:t>«4</w:t>
      </w:r>
      <w:r w:rsidR="00085A92">
        <w:rPr>
          <w:rFonts w:ascii="Times New Roman" w:hAnsi="Times New Roman"/>
          <w:bCs/>
          <w:sz w:val="28"/>
          <w:szCs w:val="28"/>
          <w:vertAlign w:val="superscript"/>
        </w:rPr>
        <w:t>1</w:t>
      </w:r>
      <w:r w:rsidRPr="00D9358F">
        <w:rPr>
          <w:rFonts w:ascii="Times New Roman" w:hAnsi="Times New Roman"/>
          <w:bCs/>
          <w:sz w:val="28"/>
          <w:szCs w:val="28"/>
        </w:rPr>
        <w:t xml:space="preserve">. </w:t>
      </w:r>
      <w:r w:rsidRPr="00D9358F">
        <w:rPr>
          <w:rFonts w:ascii="Times New Roman" w:hAnsi="Times New Roman"/>
          <w:sz w:val="28"/>
          <w:szCs w:val="28"/>
          <w:lang w:val="x-none"/>
        </w:rPr>
        <w:t>Утвердить и ввести в действие</w:t>
      </w:r>
      <w:r>
        <w:rPr>
          <w:rFonts w:ascii="Times New Roman" w:hAnsi="Times New Roman"/>
          <w:sz w:val="28"/>
          <w:szCs w:val="28"/>
        </w:rPr>
        <w:t xml:space="preserve"> на 2024</w:t>
      </w:r>
      <w:r w:rsidRPr="00D9358F">
        <w:rPr>
          <w:rFonts w:ascii="Times New Roman" w:hAnsi="Times New Roman"/>
          <w:sz w:val="28"/>
          <w:szCs w:val="28"/>
        </w:rPr>
        <w:t xml:space="preserve"> год</w:t>
      </w:r>
      <w:r w:rsidRPr="00D9358F">
        <w:rPr>
          <w:rFonts w:ascii="Times New Roman" w:hAnsi="Times New Roman"/>
          <w:sz w:val="28"/>
          <w:szCs w:val="28"/>
          <w:lang w:val="x-none"/>
        </w:rPr>
        <w:t xml:space="preserve"> </w:t>
      </w:r>
      <w:r w:rsidRPr="00D9358F">
        <w:rPr>
          <w:rFonts w:ascii="Times New Roman" w:hAnsi="Times New Roman"/>
          <w:sz w:val="28"/>
          <w:szCs w:val="28"/>
        </w:rPr>
        <w:t xml:space="preserve">с применением </w:t>
      </w:r>
      <w:r w:rsidRPr="00D9358F">
        <w:rPr>
          <w:rFonts w:ascii="Times New Roman" w:hAnsi="Times New Roman"/>
          <w:bCs/>
          <w:sz w:val="28"/>
          <w:szCs w:val="28"/>
        </w:rPr>
        <w:t>цены</w:t>
      </w:r>
      <w:r w:rsidRPr="00D9358F">
        <w:rPr>
          <w:rFonts w:ascii="Times New Roman" w:hAnsi="Times New Roman"/>
          <w:bCs/>
          <w:sz w:val="28"/>
          <w:szCs w:val="28"/>
          <w:lang w:val="x-none"/>
        </w:rPr>
        <w:t xml:space="preserve"> </w:t>
      </w:r>
      <w:r w:rsidRPr="00D9358F">
        <w:rPr>
          <w:rFonts w:ascii="Times New Roman" w:hAnsi="Times New Roman"/>
          <w:bCs/>
          <w:sz w:val="28"/>
          <w:szCs w:val="28"/>
        </w:rPr>
        <w:t>(</w:t>
      </w:r>
      <w:r w:rsidRPr="00D9358F">
        <w:rPr>
          <w:rFonts w:ascii="Times New Roman" w:hAnsi="Times New Roman"/>
          <w:bCs/>
          <w:sz w:val="28"/>
          <w:szCs w:val="28"/>
          <w:lang w:val="x-none"/>
        </w:rPr>
        <w:t>тарифы</w:t>
      </w:r>
      <w:r w:rsidRPr="00D9358F">
        <w:rPr>
          <w:rFonts w:ascii="Times New Roman" w:hAnsi="Times New Roman"/>
          <w:bCs/>
          <w:sz w:val="28"/>
          <w:szCs w:val="28"/>
        </w:rPr>
        <w:t>)</w:t>
      </w:r>
      <w:r w:rsidRPr="00D9358F">
        <w:rPr>
          <w:rFonts w:ascii="Times New Roman" w:hAnsi="Times New Roman"/>
          <w:bCs/>
          <w:sz w:val="28"/>
          <w:szCs w:val="28"/>
          <w:lang w:val="x-none"/>
        </w:rPr>
        <w:t xml:space="preserve"> на электрическую энергию, поставляемую </w:t>
      </w:r>
      <w:r w:rsidRPr="00D9358F">
        <w:rPr>
          <w:rFonts w:ascii="Times New Roman" w:hAnsi="Times New Roman"/>
          <w:bCs/>
          <w:sz w:val="28"/>
          <w:szCs w:val="28"/>
        </w:rPr>
        <w:t xml:space="preserve">Акционерным обществом «Камчатские электрические сети им. И.А. Пискунова» </w:t>
      </w:r>
      <w:r w:rsidRPr="00D9358F">
        <w:rPr>
          <w:rFonts w:ascii="Times New Roman" w:hAnsi="Times New Roman"/>
          <w:sz w:val="28"/>
          <w:szCs w:val="28"/>
          <w:lang w:val="x-none"/>
        </w:rPr>
        <w:t>для населения и приравненным к нему категориям потребителей</w:t>
      </w:r>
      <w:r w:rsidRPr="00D9358F">
        <w:rPr>
          <w:rFonts w:ascii="Times New Roman" w:hAnsi="Times New Roman"/>
          <w:sz w:val="28"/>
          <w:szCs w:val="28"/>
        </w:rPr>
        <w:t>,</w:t>
      </w:r>
      <w:r w:rsidRPr="00D9358F">
        <w:rPr>
          <w:rFonts w:ascii="Times New Roman" w:hAnsi="Times New Roman"/>
          <w:bCs/>
          <w:sz w:val="28"/>
          <w:szCs w:val="28"/>
        </w:rPr>
        <w:t xml:space="preserve"> </w:t>
      </w:r>
      <w:r w:rsidRPr="00D9358F">
        <w:rPr>
          <w:rFonts w:ascii="Times New Roman" w:hAnsi="Times New Roman"/>
          <w:sz w:val="28"/>
          <w:szCs w:val="28"/>
          <w:lang w:val="x-none"/>
        </w:rPr>
        <w:t>согласно приложению</w:t>
      </w:r>
      <w:r w:rsidRPr="00D9358F">
        <w:rPr>
          <w:rFonts w:ascii="Times New Roman" w:hAnsi="Times New Roman"/>
          <w:sz w:val="28"/>
          <w:szCs w:val="28"/>
        </w:rPr>
        <w:t> </w:t>
      </w:r>
      <w:r w:rsidR="005821B6">
        <w:rPr>
          <w:rFonts w:ascii="Times New Roman" w:hAnsi="Times New Roman"/>
          <w:sz w:val="28"/>
          <w:szCs w:val="28"/>
        </w:rPr>
        <w:t>7</w:t>
      </w:r>
      <w:r w:rsidR="00F969A7">
        <w:rPr>
          <w:rFonts w:ascii="Times New Roman" w:hAnsi="Times New Roman"/>
          <w:sz w:val="28"/>
          <w:szCs w:val="28"/>
        </w:rPr>
        <w:t>»</w:t>
      </w:r>
      <w:r w:rsidRPr="00D9358F">
        <w:rPr>
          <w:rFonts w:ascii="Times New Roman" w:hAnsi="Times New Roman"/>
          <w:sz w:val="28"/>
          <w:szCs w:val="28"/>
          <w:lang w:val="x-none"/>
        </w:rPr>
        <w:t>.</w:t>
      </w:r>
    </w:p>
    <w:p w:rsidR="00B94BFA" w:rsidRPr="00B94BFA" w:rsidRDefault="00B94BFA" w:rsidP="00C112C6">
      <w:pPr>
        <w:tabs>
          <w:tab w:val="left" w:pos="709"/>
        </w:tabs>
        <w:spacing w:after="0"/>
        <w:ind w:firstLine="709"/>
        <w:contextualSpacing/>
        <w:jc w:val="both"/>
        <w:rPr>
          <w:rFonts w:ascii="Times New Roman" w:hAnsi="Times New Roman"/>
          <w:sz w:val="28"/>
          <w:szCs w:val="28"/>
          <w:lang w:val="x-none"/>
        </w:rPr>
      </w:pPr>
      <w:r w:rsidRPr="00B94BFA">
        <w:rPr>
          <w:rFonts w:ascii="Times New Roman" w:hAnsi="Times New Roman"/>
          <w:sz w:val="28"/>
          <w:szCs w:val="28"/>
        </w:rPr>
        <w:t xml:space="preserve">6) приложение </w:t>
      </w:r>
      <w:r w:rsidR="00F443AD">
        <w:rPr>
          <w:rFonts w:ascii="Times New Roman" w:hAnsi="Times New Roman"/>
          <w:sz w:val="28"/>
          <w:szCs w:val="28"/>
        </w:rPr>
        <w:t>5</w:t>
      </w:r>
      <w:r w:rsidRPr="00B94BFA">
        <w:rPr>
          <w:rFonts w:ascii="Times New Roman" w:hAnsi="Times New Roman"/>
          <w:sz w:val="28"/>
          <w:szCs w:val="28"/>
        </w:rPr>
        <w:t xml:space="preserve"> изложить в редакции согласно </w:t>
      </w:r>
      <w:r w:rsidRPr="005821B6">
        <w:rPr>
          <w:rFonts w:ascii="Times New Roman" w:hAnsi="Times New Roman"/>
          <w:sz w:val="28"/>
          <w:szCs w:val="28"/>
        </w:rPr>
        <w:t>приложению 1</w:t>
      </w:r>
      <w:r w:rsidRPr="00B94BFA">
        <w:rPr>
          <w:rFonts w:ascii="Times New Roman" w:hAnsi="Times New Roman"/>
          <w:sz w:val="28"/>
          <w:szCs w:val="28"/>
        </w:rPr>
        <w:t xml:space="preserve"> к настоящему постановлению;</w:t>
      </w:r>
    </w:p>
    <w:p w:rsidR="00B94BFA" w:rsidRPr="00F443AD" w:rsidRDefault="00B94BFA" w:rsidP="00C112C6">
      <w:pPr>
        <w:pStyle w:val="af1"/>
        <w:ind w:left="0" w:firstLine="709"/>
        <w:jc w:val="both"/>
        <w:rPr>
          <w:szCs w:val="28"/>
        </w:rPr>
      </w:pPr>
      <w:r w:rsidRPr="00175958">
        <w:rPr>
          <w:szCs w:val="28"/>
        </w:rPr>
        <w:t xml:space="preserve">7) </w:t>
      </w:r>
      <w:r w:rsidRPr="00F443AD">
        <w:rPr>
          <w:szCs w:val="28"/>
        </w:rPr>
        <w:t>дополнить приложени</w:t>
      </w:r>
      <w:r w:rsidR="005821B6">
        <w:rPr>
          <w:szCs w:val="28"/>
        </w:rPr>
        <w:t>ями</w:t>
      </w:r>
      <w:r w:rsidRPr="00F443AD">
        <w:rPr>
          <w:szCs w:val="28"/>
        </w:rPr>
        <w:t xml:space="preserve"> </w:t>
      </w:r>
      <w:r w:rsidR="00F443AD" w:rsidRPr="00F443AD">
        <w:rPr>
          <w:szCs w:val="28"/>
        </w:rPr>
        <w:t>6</w:t>
      </w:r>
      <w:r w:rsidR="005821B6">
        <w:rPr>
          <w:szCs w:val="28"/>
        </w:rPr>
        <w:t>-7</w:t>
      </w:r>
      <w:r w:rsidRPr="00F443AD">
        <w:rPr>
          <w:szCs w:val="28"/>
        </w:rPr>
        <w:t xml:space="preserve">, изложив </w:t>
      </w:r>
      <w:r w:rsidR="005821B6">
        <w:rPr>
          <w:szCs w:val="28"/>
        </w:rPr>
        <w:t>их</w:t>
      </w:r>
      <w:r w:rsidRPr="00F443AD">
        <w:rPr>
          <w:szCs w:val="28"/>
        </w:rPr>
        <w:t xml:space="preserve"> в редакции, согласно приложени</w:t>
      </w:r>
      <w:r w:rsidR="005821B6">
        <w:rPr>
          <w:szCs w:val="28"/>
        </w:rPr>
        <w:t>ям</w:t>
      </w:r>
      <w:r w:rsidRPr="00F443AD">
        <w:rPr>
          <w:szCs w:val="28"/>
        </w:rPr>
        <w:t xml:space="preserve"> 2</w:t>
      </w:r>
      <w:r w:rsidR="00F969A7">
        <w:rPr>
          <w:szCs w:val="28"/>
        </w:rPr>
        <w:t xml:space="preserve"> </w:t>
      </w:r>
      <w:r w:rsidR="005821B6">
        <w:rPr>
          <w:szCs w:val="28"/>
        </w:rPr>
        <w:t>-</w:t>
      </w:r>
      <w:r w:rsidR="00F969A7">
        <w:rPr>
          <w:szCs w:val="28"/>
        </w:rPr>
        <w:t xml:space="preserve"> </w:t>
      </w:r>
      <w:r w:rsidR="005821B6">
        <w:rPr>
          <w:szCs w:val="28"/>
        </w:rPr>
        <w:t>3</w:t>
      </w:r>
      <w:r w:rsidR="00F443AD">
        <w:rPr>
          <w:szCs w:val="28"/>
        </w:rPr>
        <w:t> </w:t>
      </w:r>
      <w:r w:rsidRPr="00F443AD">
        <w:rPr>
          <w:szCs w:val="28"/>
        </w:rPr>
        <w:t>к настоящему постановлению</w:t>
      </w:r>
      <w:r w:rsidR="005821B6">
        <w:rPr>
          <w:szCs w:val="28"/>
        </w:rPr>
        <w:t>.</w:t>
      </w:r>
    </w:p>
    <w:p w:rsidR="00B94BFA" w:rsidRPr="00F443AD" w:rsidRDefault="00B94BFA" w:rsidP="00C112C6">
      <w:pPr>
        <w:suppressAutoHyphens/>
        <w:adjustRightInd w:val="0"/>
        <w:spacing w:after="0"/>
        <w:ind w:firstLine="720"/>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2504B9">
        <w:rPr>
          <w:rFonts w:ascii="Times New Roman" w:hAnsi="Times New Roman"/>
          <w:sz w:val="28"/>
        </w:rPr>
        <w:t xml:space="preserve"> 1</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2504B9" w:rsidRPr="002504B9" w:rsidRDefault="002504B9" w:rsidP="002504B9">
      <w:pPr>
        <w:spacing w:after="0" w:line="240" w:lineRule="auto"/>
        <w:ind w:left="4819"/>
        <w:rPr>
          <w:rFonts w:ascii="Times New Roman" w:hAnsi="Times New Roman"/>
          <w:sz w:val="28"/>
        </w:rPr>
      </w:pPr>
      <w:r>
        <w:rPr>
          <w:rFonts w:ascii="Times New Roman" w:hAnsi="Times New Roman"/>
          <w:sz w:val="28"/>
        </w:rPr>
        <w:t>«</w:t>
      </w:r>
      <w:r w:rsidRPr="002504B9">
        <w:rPr>
          <w:rFonts w:ascii="Times New Roman" w:hAnsi="Times New Roman"/>
          <w:sz w:val="28"/>
        </w:rPr>
        <w:t>Приложение 5</w:t>
      </w:r>
    </w:p>
    <w:p w:rsidR="002504B9" w:rsidRPr="002504B9" w:rsidRDefault="002504B9" w:rsidP="002504B9">
      <w:pPr>
        <w:spacing w:after="0" w:line="240" w:lineRule="auto"/>
        <w:ind w:left="4819"/>
        <w:rPr>
          <w:rFonts w:ascii="Times New Roman" w:hAnsi="Times New Roman"/>
          <w:sz w:val="28"/>
        </w:rPr>
      </w:pPr>
      <w:r w:rsidRPr="002504B9">
        <w:rPr>
          <w:rFonts w:ascii="Times New Roman" w:hAnsi="Times New Roman"/>
          <w:sz w:val="28"/>
        </w:rPr>
        <w:t xml:space="preserve">к постановлению Региональной службы   </w:t>
      </w:r>
    </w:p>
    <w:p w:rsidR="002504B9" w:rsidRPr="002504B9" w:rsidRDefault="002504B9" w:rsidP="002504B9">
      <w:pPr>
        <w:spacing w:after="0" w:line="240" w:lineRule="auto"/>
        <w:ind w:left="4819"/>
        <w:rPr>
          <w:rFonts w:ascii="Times New Roman" w:hAnsi="Times New Roman"/>
          <w:sz w:val="28"/>
        </w:rPr>
      </w:pPr>
      <w:r w:rsidRPr="002504B9">
        <w:rPr>
          <w:rFonts w:ascii="Times New Roman" w:hAnsi="Times New Roman"/>
          <w:sz w:val="28"/>
        </w:rPr>
        <w:t>по тарифам и ценам Камчатского края</w:t>
      </w:r>
    </w:p>
    <w:p w:rsidR="002504B9" w:rsidRPr="002504B9" w:rsidRDefault="002504B9" w:rsidP="002504B9">
      <w:pPr>
        <w:spacing w:after="0" w:line="240" w:lineRule="auto"/>
        <w:ind w:left="4819"/>
        <w:rPr>
          <w:rFonts w:ascii="Times New Roman" w:hAnsi="Times New Roman"/>
          <w:sz w:val="28"/>
        </w:rPr>
      </w:pPr>
      <w:r w:rsidRPr="002504B9">
        <w:rPr>
          <w:rFonts w:ascii="Times New Roman" w:hAnsi="Times New Roman"/>
          <w:sz w:val="28"/>
        </w:rPr>
        <w:t>от 28.11.2022 № 439</w:t>
      </w:r>
    </w:p>
    <w:p w:rsidR="002504B9" w:rsidRPr="00093E5B" w:rsidRDefault="002504B9" w:rsidP="002504B9">
      <w:pPr>
        <w:tabs>
          <w:tab w:val="left" w:pos="525"/>
          <w:tab w:val="right" w:pos="9540"/>
        </w:tabs>
        <w:ind w:left="4678"/>
        <w:jc w:val="both"/>
        <w:rPr>
          <w:bCs/>
          <w:szCs w:val="28"/>
        </w:rPr>
      </w:pPr>
    </w:p>
    <w:p w:rsidR="002504B9" w:rsidRPr="002504B9" w:rsidRDefault="002504B9" w:rsidP="002504B9">
      <w:pPr>
        <w:autoSpaceDE w:val="0"/>
        <w:autoSpaceDN w:val="0"/>
        <w:adjustRightInd w:val="0"/>
        <w:jc w:val="center"/>
        <w:rPr>
          <w:rFonts w:ascii="Times New Roman" w:eastAsia="Calibri" w:hAnsi="Times New Roman"/>
          <w:sz w:val="28"/>
          <w:szCs w:val="28"/>
        </w:rPr>
      </w:pPr>
      <w:r w:rsidRPr="002504B9">
        <w:rPr>
          <w:rFonts w:ascii="Times New Roman" w:eastAsia="Calibri" w:hAnsi="Times New Roman"/>
          <w:sz w:val="28"/>
          <w:szCs w:val="28"/>
        </w:rPr>
        <w:t xml:space="preserve">Необходимая валовая выручка </w:t>
      </w:r>
      <w:r w:rsidRPr="002504B9">
        <w:rPr>
          <w:rFonts w:ascii="Times New Roman" w:hAnsi="Times New Roman"/>
          <w:bCs/>
          <w:sz w:val="28"/>
          <w:szCs w:val="28"/>
        </w:rPr>
        <w:t xml:space="preserve">Акционерного общества «Камчатские электрические сети им. И.А. Пискунова» </w:t>
      </w:r>
      <w:r w:rsidRPr="002504B9">
        <w:rPr>
          <w:rFonts w:ascii="Times New Roman" w:eastAsia="Calibri" w:hAnsi="Times New Roman"/>
          <w:sz w:val="28"/>
          <w:szCs w:val="28"/>
        </w:rPr>
        <w:t>на долгосрочный период регулирования (без учета оплаты потерь) на 2023 – 2027 годы</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2504B9" w:rsidRPr="00093E5B" w:rsidTr="00BD5C78">
        <w:tc>
          <w:tcPr>
            <w:tcW w:w="737" w:type="dxa"/>
            <w:vMerge w:val="restart"/>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N п/п</w:t>
            </w:r>
          </w:p>
        </w:tc>
        <w:tc>
          <w:tcPr>
            <w:tcW w:w="3861" w:type="dxa"/>
            <w:vMerge w:val="restart"/>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Год</w:t>
            </w:r>
          </w:p>
        </w:tc>
        <w:tc>
          <w:tcPr>
            <w:tcW w:w="3402" w:type="dxa"/>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НВВ сетевой организации</w:t>
            </w:r>
          </w:p>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без учета оплаты потерь</w:t>
            </w:r>
          </w:p>
        </w:tc>
      </w:tr>
      <w:tr w:rsidR="002504B9" w:rsidRPr="00093E5B" w:rsidTr="00BD5C78">
        <w:tc>
          <w:tcPr>
            <w:tcW w:w="737" w:type="dxa"/>
            <w:vMerge/>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3861" w:type="dxa"/>
            <w:vMerge/>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тыс. руб.</w:t>
            </w:r>
          </w:p>
        </w:tc>
      </w:tr>
      <w:tr w:rsidR="002504B9" w:rsidRPr="00093E5B" w:rsidTr="00BD5C78">
        <w:tc>
          <w:tcPr>
            <w:tcW w:w="737" w:type="dxa"/>
            <w:vMerge w:val="restart"/>
            <w:tcBorders>
              <w:top w:val="single" w:sz="4" w:space="0" w:color="auto"/>
              <w:left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1.</w:t>
            </w:r>
          </w:p>
        </w:tc>
        <w:tc>
          <w:tcPr>
            <w:tcW w:w="3861" w:type="dxa"/>
            <w:vMerge w:val="restart"/>
            <w:tcBorders>
              <w:top w:val="single" w:sz="4" w:space="0" w:color="auto"/>
              <w:left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АО «КЭС»</w:t>
            </w:r>
          </w:p>
        </w:tc>
        <w:tc>
          <w:tcPr>
            <w:tcW w:w="1701" w:type="dxa"/>
            <w:tcBorders>
              <w:top w:val="single" w:sz="4" w:space="0" w:color="auto"/>
              <w:left w:val="single" w:sz="4" w:space="0" w:color="auto"/>
              <w:bottom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2023 год</w:t>
            </w:r>
          </w:p>
        </w:tc>
        <w:tc>
          <w:tcPr>
            <w:tcW w:w="3402" w:type="dxa"/>
            <w:tcBorders>
              <w:top w:val="single" w:sz="4" w:space="0" w:color="auto"/>
              <w:left w:val="single" w:sz="4" w:space="0" w:color="auto"/>
              <w:bottom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107 328</w:t>
            </w:r>
          </w:p>
        </w:tc>
      </w:tr>
      <w:tr w:rsidR="002504B9" w:rsidRPr="00093E5B" w:rsidTr="00BD5C78">
        <w:tc>
          <w:tcPr>
            <w:tcW w:w="737" w:type="dxa"/>
            <w:vMerge/>
            <w:tcBorders>
              <w:left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3861" w:type="dxa"/>
            <w:vMerge/>
            <w:tcBorders>
              <w:left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2024 год</w:t>
            </w:r>
          </w:p>
        </w:tc>
        <w:tc>
          <w:tcPr>
            <w:tcW w:w="3402" w:type="dxa"/>
            <w:tcBorders>
              <w:top w:val="single" w:sz="4" w:space="0" w:color="auto"/>
              <w:left w:val="single" w:sz="4" w:space="0" w:color="auto"/>
              <w:bottom w:val="single" w:sz="4" w:space="0" w:color="auto"/>
              <w:right w:val="single" w:sz="4" w:space="0" w:color="auto"/>
            </w:tcBorders>
          </w:tcPr>
          <w:p w:rsidR="002504B9" w:rsidRPr="009353AD" w:rsidRDefault="002504B9" w:rsidP="002504B9">
            <w:pPr>
              <w:spacing w:after="0" w:line="240" w:lineRule="auto"/>
              <w:jc w:val="center"/>
              <w:rPr>
                <w:rFonts w:ascii="Times New Roman" w:eastAsia="Calibri" w:hAnsi="Times New Roman"/>
                <w:color w:val="auto"/>
                <w:sz w:val="24"/>
                <w:szCs w:val="24"/>
                <w:highlight w:val="yellow"/>
              </w:rPr>
            </w:pPr>
            <w:r w:rsidRPr="009353AD">
              <w:rPr>
                <w:rFonts w:ascii="Times New Roman" w:eastAsia="Calibri" w:hAnsi="Times New Roman"/>
                <w:color w:val="auto"/>
                <w:sz w:val="24"/>
                <w:szCs w:val="24"/>
                <w:highlight w:val="yellow"/>
              </w:rPr>
              <w:t>93 427</w:t>
            </w:r>
          </w:p>
        </w:tc>
      </w:tr>
      <w:tr w:rsidR="002504B9" w:rsidRPr="00136C92" w:rsidTr="00BD5C78">
        <w:tc>
          <w:tcPr>
            <w:tcW w:w="737" w:type="dxa"/>
            <w:vMerge/>
            <w:tcBorders>
              <w:left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3861" w:type="dxa"/>
            <w:vMerge/>
            <w:tcBorders>
              <w:left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2025 год</w:t>
            </w:r>
          </w:p>
        </w:tc>
        <w:tc>
          <w:tcPr>
            <w:tcW w:w="3402" w:type="dxa"/>
            <w:tcBorders>
              <w:top w:val="single" w:sz="4" w:space="0" w:color="auto"/>
              <w:left w:val="single" w:sz="4" w:space="0" w:color="auto"/>
              <w:bottom w:val="single" w:sz="4" w:space="0" w:color="auto"/>
              <w:right w:val="single" w:sz="4" w:space="0" w:color="auto"/>
            </w:tcBorders>
          </w:tcPr>
          <w:p w:rsidR="002504B9" w:rsidRPr="009353AD" w:rsidRDefault="002504B9" w:rsidP="002504B9">
            <w:pPr>
              <w:spacing w:after="0" w:line="240" w:lineRule="auto"/>
              <w:jc w:val="center"/>
              <w:rPr>
                <w:rFonts w:ascii="Times New Roman" w:eastAsia="Calibri" w:hAnsi="Times New Roman"/>
                <w:color w:val="auto"/>
                <w:sz w:val="24"/>
                <w:szCs w:val="24"/>
                <w:highlight w:val="yellow"/>
              </w:rPr>
            </w:pPr>
            <w:r w:rsidRPr="009353AD">
              <w:rPr>
                <w:rFonts w:ascii="Times New Roman" w:eastAsia="Calibri" w:hAnsi="Times New Roman"/>
                <w:color w:val="auto"/>
                <w:sz w:val="24"/>
                <w:szCs w:val="24"/>
                <w:highlight w:val="yellow"/>
              </w:rPr>
              <w:t>95 821</w:t>
            </w:r>
          </w:p>
        </w:tc>
      </w:tr>
      <w:tr w:rsidR="002504B9" w:rsidRPr="00136C92" w:rsidTr="00BD5C78">
        <w:tc>
          <w:tcPr>
            <w:tcW w:w="737" w:type="dxa"/>
            <w:vMerge/>
            <w:tcBorders>
              <w:left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3861" w:type="dxa"/>
            <w:vMerge/>
            <w:tcBorders>
              <w:left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2026 год</w:t>
            </w:r>
          </w:p>
        </w:tc>
        <w:tc>
          <w:tcPr>
            <w:tcW w:w="3402" w:type="dxa"/>
            <w:tcBorders>
              <w:top w:val="single" w:sz="4" w:space="0" w:color="auto"/>
              <w:left w:val="single" w:sz="4" w:space="0" w:color="auto"/>
              <w:bottom w:val="single" w:sz="4" w:space="0" w:color="auto"/>
              <w:right w:val="single" w:sz="4" w:space="0" w:color="auto"/>
            </w:tcBorders>
          </w:tcPr>
          <w:p w:rsidR="002504B9" w:rsidRPr="009353AD" w:rsidRDefault="002504B9" w:rsidP="002504B9">
            <w:pPr>
              <w:spacing w:after="0" w:line="240" w:lineRule="auto"/>
              <w:jc w:val="center"/>
              <w:rPr>
                <w:rFonts w:ascii="Times New Roman" w:eastAsia="Calibri" w:hAnsi="Times New Roman"/>
                <w:color w:val="auto"/>
                <w:sz w:val="24"/>
                <w:szCs w:val="24"/>
                <w:highlight w:val="yellow"/>
              </w:rPr>
            </w:pPr>
            <w:r w:rsidRPr="009353AD">
              <w:rPr>
                <w:rFonts w:ascii="Times New Roman" w:eastAsia="Calibri" w:hAnsi="Times New Roman"/>
                <w:color w:val="auto"/>
                <w:sz w:val="24"/>
                <w:szCs w:val="24"/>
                <w:highlight w:val="yellow"/>
              </w:rPr>
              <w:t>98 288</w:t>
            </w:r>
          </w:p>
        </w:tc>
      </w:tr>
      <w:tr w:rsidR="002504B9" w:rsidRPr="00136C92" w:rsidTr="00BD5C78">
        <w:tc>
          <w:tcPr>
            <w:tcW w:w="737" w:type="dxa"/>
            <w:vMerge/>
            <w:tcBorders>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3861" w:type="dxa"/>
            <w:vMerge/>
            <w:tcBorders>
              <w:left w:val="single" w:sz="4" w:space="0" w:color="auto"/>
              <w:bottom w:val="single" w:sz="4" w:space="0" w:color="auto"/>
              <w:right w:val="single" w:sz="4" w:space="0" w:color="auto"/>
            </w:tcBorders>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2504B9" w:rsidRPr="002504B9" w:rsidRDefault="002504B9" w:rsidP="002504B9">
            <w:pPr>
              <w:autoSpaceDE w:val="0"/>
              <w:autoSpaceDN w:val="0"/>
              <w:adjustRightInd w:val="0"/>
              <w:spacing w:after="0" w:line="240" w:lineRule="auto"/>
              <w:jc w:val="center"/>
              <w:rPr>
                <w:rFonts w:ascii="Times New Roman" w:eastAsia="Calibri" w:hAnsi="Times New Roman"/>
                <w:color w:val="auto"/>
                <w:sz w:val="24"/>
                <w:szCs w:val="24"/>
              </w:rPr>
            </w:pPr>
            <w:r w:rsidRPr="002504B9">
              <w:rPr>
                <w:rFonts w:ascii="Times New Roman" w:eastAsia="Calibri" w:hAnsi="Times New Roman"/>
                <w:color w:val="auto"/>
                <w:sz w:val="24"/>
                <w:szCs w:val="24"/>
              </w:rPr>
              <w:t>2027 год</w:t>
            </w:r>
          </w:p>
        </w:tc>
        <w:tc>
          <w:tcPr>
            <w:tcW w:w="3402" w:type="dxa"/>
            <w:tcBorders>
              <w:top w:val="single" w:sz="4" w:space="0" w:color="auto"/>
              <w:left w:val="single" w:sz="4" w:space="0" w:color="auto"/>
              <w:bottom w:val="single" w:sz="4" w:space="0" w:color="auto"/>
              <w:right w:val="single" w:sz="4" w:space="0" w:color="auto"/>
            </w:tcBorders>
          </w:tcPr>
          <w:p w:rsidR="002504B9" w:rsidRPr="009353AD" w:rsidRDefault="002504B9" w:rsidP="002504B9">
            <w:pPr>
              <w:spacing w:after="0" w:line="240" w:lineRule="auto"/>
              <w:jc w:val="center"/>
              <w:rPr>
                <w:rFonts w:ascii="Times New Roman" w:eastAsia="Calibri" w:hAnsi="Times New Roman"/>
                <w:color w:val="auto"/>
                <w:sz w:val="24"/>
                <w:szCs w:val="24"/>
                <w:highlight w:val="yellow"/>
              </w:rPr>
            </w:pPr>
            <w:r w:rsidRPr="009353AD">
              <w:rPr>
                <w:rFonts w:ascii="Times New Roman" w:eastAsia="Calibri" w:hAnsi="Times New Roman"/>
                <w:color w:val="auto"/>
                <w:sz w:val="24"/>
                <w:szCs w:val="24"/>
                <w:highlight w:val="yellow"/>
              </w:rPr>
              <w:t>100 832</w:t>
            </w:r>
          </w:p>
        </w:tc>
      </w:tr>
    </w:tbl>
    <w:p w:rsidR="002504B9" w:rsidRPr="00136C92" w:rsidRDefault="002504B9" w:rsidP="002504B9">
      <w:pPr>
        <w:widowControl w:val="0"/>
        <w:rPr>
          <w:rFonts w:eastAsia="Calibri"/>
          <w:szCs w:val="28"/>
          <w:highlight w:val="yellow"/>
        </w:rPr>
      </w:pPr>
    </w:p>
    <w:p w:rsidR="002504B9" w:rsidRPr="009353AD" w:rsidRDefault="009353AD" w:rsidP="009353AD">
      <w:pPr>
        <w:tabs>
          <w:tab w:val="left" w:pos="525"/>
          <w:tab w:val="right" w:pos="5387"/>
        </w:tabs>
        <w:jc w:val="right"/>
        <w:rPr>
          <w:rFonts w:ascii="Times New Roman" w:hAnsi="Times New Roman"/>
          <w:sz w:val="28"/>
          <w:szCs w:val="28"/>
        </w:rPr>
      </w:pPr>
      <w:r w:rsidRPr="009353AD">
        <w:rPr>
          <w:rFonts w:ascii="Times New Roman" w:hAnsi="Times New Roman"/>
          <w:sz w:val="28"/>
          <w:szCs w:val="28"/>
        </w:rPr>
        <w:t>».</w:t>
      </w:r>
    </w:p>
    <w:p w:rsidR="002504B9" w:rsidRDefault="002504B9" w:rsidP="002504B9"/>
    <w:p w:rsidR="002504B9" w:rsidRDefault="002504B9">
      <w:pPr>
        <w:rPr>
          <w:rFonts w:ascii="Times New Roman" w:hAnsi="Times New Roman"/>
          <w:sz w:val="24"/>
        </w:rPr>
      </w:pPr>
    </w:p>
    <w:p w:rsidR="002504B9" w:rsidRDefault="002504B9">
      <w:pPr>
        <w:rPr>
          <w:rFonts w:ascii="Times New Roman" w:hAnsi="Times New Roman"/>
          <w:sz w:val="24"/>
        </w:rPr>
      </w:pPr>
    </w:p>
    <w:p w:rsidR="002504B9" w:rsidRDefault="002504B9">
      <w:pPr>
        <w:rPr>
          <w:rFonts w:ascii="Times New Roman" w:hAnsi="Times New Roman"/>
          <w:sz w:val="24"/>
        </w:rPr>
      </w:pPr>
    </w:p>
    <w:p w:rsidR="002504B9" w:rsidRDefault="002504B9">
      <w:pPr>
        <w:rPr>
          <w:rFonts w:ascii="Times New Roman" w:hAnsi="Times New Roman"/>
          <w:sz w:val="24"/>
        </w:rPr>
      </w:pPr>
    </w:p>
    <w:p w:rsidR="002504B9" w:rsidRDefault="002504B9">
      <w:pPr>
        <w:rPr>
          <w:rFonts w:ascii="Times New Roman" w:hAnsi="Times New Roman"/>
          <w:sz w:val="24"/>
        </w:rPr>
      </w:pPr>
    </w:p>
    <w:p w:rsidR="002504B9" w:rsidRDefault="002504B9">
      <w:pPr>
        <w:rPr>
          <w:rFonts w:ascii="Times New Roman" w:hAnsi="Times New Roman"/>
          <w:sz w:val="24"/>
        </w:rPr>
      </w:pPr>
    </w:p>
    <w:p w:rsidR="006E12FD" w:rsidRDefault="006E12FD">
      <w:pPr>
        <w:rPr>
          <w:rFonts w:ascii="Times New Roman" w:hAnsi="Times New Roman"/>
          <w:sz w:val="24"/>
        </w:rPr>
      </w:pPr>
    </w:p>
    <w:p w:rsidR="006E12FD" w:rsidRDefault="006E12FD">
      <w:pPr>
        <w:rPr>
          <w:rFonts w:ascii="Times New Roman" w:hAnsi="Times New Roman"/>
          <w:sz w:val="24"/>
        </w:rPr>
      </w:pPr>
    </w:p>
    <w:p w:rsidR="006E12FD" w:rsidRDefault="006E12FD">
      <w:pPr>
        <w:rPr>
          <w:rFonts w:ascii="Times New Roman" w:hAnsi="Times New Roman"/>
          <w:sz w:val="24"/>
        </w:rPr>
      </w:pPr>
    </w:p>
    <w:p w:rsidR="006E12FD" w:rsidRDefault="006E12FD">
      <w:pPr>
        <w:rPr>
          <w:rFonts w:ascii="Times New Roman" w:hAnsi="Times New Roman"/>
          <w:sz w:val="24"/>
        </w:rPr>
      </w:pPr>
    </w:p>
    <w:p w:rsidR="006E12FD" w:rsidRDefault="006E12FD" w:rsidP="006E12FD">
      <w:pPr>
        <w:spacing w:after="0" w:line="240" w:lineRule="auto"/>
        <w:ind w:left="4819"/>
        <w:rPr>
          <w:rFonts w:ascii="Times New Roman" w:hAnsi="Times New Roman"/>
          <w:sz w:val="28"/>
        </w:rPr>
      </w:pPr>
      <w:r>
        <w:rPr>
          <w:rFonts w:ascii="Times New Roman" w:hAnsi="Times New Roman"/>
          <w:sz w:val="28"/>
        </w:rPr>
        <w:lastRenderedPageBreak/>
        <w:t>Приложение 2</w:t>
      </w:r>
    </w:p>
    <w:p w:rsidR="006E12FD" w:rsidRDefault="006E12FD" w:rsidP="006E12FD">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6E12FD" w:rsidRDefault="006E12FD" w:rsidP="006E12FD">
      <w:pPr>
        <w:spacing w:after="0" w:line="240" w:lineRule="auto"/>
        <w:ind w:left="4819"/>
        <w:rPr>
          <w:rFonts w:ascii="Times New Roman" w:hAnsi="Times New Roman"/>
          <w:sz w:val="28"/>
        </w:rPr>
      </w:pPr>
      <w:r>
        <w:rPr>
          <w:rFonts w:ascii="Times New Roman" w:hAnsi="Times New Roman"/>
          <w:sz w:val="28"/>
        </w:rPr>
        <w:t>от ХХ.ХХ.2023 № ХХ-Н</w:t>
      </w:r>
    </w:p>
    <w:p w:rsidR="006E12FD" w:rsidRDefault="006E12FD" w:rsidP="005821B6">
      <w:pPr>
        <w:spacing w:after="0" w:line="240" w:lineRule="auto"/>
        <w:ind w:left="4819"/>
        <w:rPr>
          <w:rFonts w:ascii="Times New Roman" w:hAnsi="Times New Roman"/>
          <w:sz w:val="28"/>
        </w:rPr>
      </w:pPr>
    </w:p>
    <w:p w:rsidR="005821B6" w:rsidRPr="005821B6" w:rsidRDefault="005821B6" w:rsidP="005821B6">
      <w:pPr>
        <w:spacing w:after="0" w:line="240" w:lineRule="auto"/>
        <w:ind w:left="4819"/>
        <w:rPr>
          <w:rFonts w:ascii="Times New Roman" w:hAnsi="Times New Roman"/>
          <w:sz w:val="28"/>
        </w:rPr>
      </w:pPr>
      <w:r>
        <w:rPr>
          <w:rFonts w:ascii="Times New Roman" w:hAnsi="Times New Roman"/>
          <w:sz w:val="28"/>
        </w:rPr>
        <w:t>«</w:t>
      </w:r>
      <w:r w:rsidRPr="005821B6">
        <w:rPr>
          <w:rFonts w:ascii="Times New Roman" w:hAnsi="Times New Roman"/>
          <w:sz w:val="28"/>
        </w:rPr>
        <w:t xml:space="preserve">Приложение </w:t>
      </w:r>
      <w:r w:rsidR="006E12FD">
        <w:rPr>
          <w:rFonts w:ascii="Times New Roman" w:hAnsi="Times New Roman"/>
          <w:sz w:val="28"/>
        </w:rPr>
        <w:t>6</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 xml:space="preserve">к постановлению Региональной службы   </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по тарифам и ценам Камчатского края</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от 28.11.2022 № 439</w:t>
      </w:r>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5821B6" w:rsidRPr="00085A92" w:rsidRDefault="005821B6" w:rsidP="005821B6">
      <w:pPr>
        <w:autoSpaceDE w:val="0"/>
        <w:autoSpaceDN w:val="0"/>
        <w:adjustRightInd w:val="0"/>
        <w:jc w:val="center"/>
        <w:rPr>
          <w:rFonts w:ascii="Times New Roman" w:eastAsia="Calibri" w:hAnsi="Times New Roman"/>
          <w:sz w:val="28"/>
          <w:szCs w:val="28"/>
          <w:lang w:eastAsia="en-US"/>
        </w:rPr>
      </w:pPr>
      <w:r w:rsidRPr="00085A92">
        <w:rPr>
          <w:rFonts w:ascii="Times New Roman" w:eastAsia="Calibri" w:hAnsi="Times New Roman"/>
          <w:sz w:val="28"/>
          <w:szCs w:val="28"/>
          <w:lang w:eastAsia="en-US"/>
        </w:rPr>
        <w:t xml:space="preserve">Цены (тарифы) на электрическую энергию (мощность), поставляемую </w:t>
      </w:r>
      <w:r w:rsidRPr="00085A92">
        <w:rPr>
          <w:rFonts w:ascii="Times New Roman" w:hAnsi="Times New Roman"/>
          <w:bCs/>
          <w:sz w:val="28"/>
          <w:szCs w:val="28"/>
        </w:rPr>
        <w:t xml:space="preserve">Акционерным обществом «Камчатские электрические сети им. И.А. Пискунова» </w:t>
      </w:r>
      <w:r w:rsidRPr="00085A92">
        <w:rPr>
          <w:rFonts w:ascii="Times New Roman" w:eastAsia="Calibri" w:hAnsi="Times New Roman"/>
          <w:sz w:val="28"/>
          <w:szCs w:val="28"/>
          <w:lang w:eastAsia="en-US"/>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085A92">
        <w:rPr>
          <w:rFonts w:ascii="Times New Roman" w:eastAsia="Calibri" w:hAnsi="Times New Roman"/>
          <w:sz w:val="28"/>
          <w:szCs w:val="28"/>
          <w:lang w:eastAsia="en-US"/>
        </w:rPr>
        <w:t>, на 2024</w:t>
      </w:r>
      <w:r w:rsidRPr="00085A92">
        <w:rPr>
          <w:rFonts w:ascii="Times New Roman" w:eastAsia="Calibri" w:hAnsi="Times New Roman"/>
          <w:sz w:val="28"/>
          <w:szCs w:val="28"/>
          <w:lang w:eastAsia="en-US"/>
        </w:rPr>
        <w:t xml:space="preserve"> год </w:t>
      </w:r>
    </w:p>
    <w:p w:rsidR="005821B6" w:rsidRDefault="005821B6" w:rsidP="005821B6">
      <w:pPr>
        <w:autoSpaceDE w:val="0"/>
        <w:autoSpaceDN w:val="0"/>
        <w:adjustRightInd w:val="0"/>
        <w:jc w:val="center"/>
        <w:rPr>
          <w:rFonts w:eastAsia="Calibri"/>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035D79">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9C25D6">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192E4A">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8059C1">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center"/>
            <w:hideMark/>
          </w:tcPr>
          <w:p w:rsidR="00F7724F" w:rsidRPr="00BD5C78" w:rsidRDefault="00F7724F" w:rsidP="00F7724F">
            <w:pPr>
              <w:widowControl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17,050</w:t>
            </w:r>
          </w:p>
        </w:tc>
        <w:tc>
          <w:tcPr>
            <w:tcW w:w="709" w:type="dxa"/>
            <w:tcBorders>
              <w:top w:val="single" w:sz="4" w:space="0" w:color="auto"/>
              <w:left w:val="nil"/>
              <w:bottom w:val="single" w:sz="4" w:space="0" w:color="auto"/>
              <w:right w:val="single" w:sz="4" w:space="0" w:color="auto"/>
            </w:tcBorders>
            <w:vAlign w:val="center"/>
            <w:hideMark/>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21,260</w:t>
            </w:r>
          </w:p>
        </w:tc>
        <w:tc>
          <w:tcPr>
            <w:tcW w:w="709" w:type="dxa"/>
            <w:tcBorders>
              <w:top w:val="single" w:sz="4" w:space="0" w:color="auto"/>
              <w:left w:val="nil"/>
              <w:bottom w:val="single" w:sz="4" w:space="0" w:color="auto"/>
              <w:right w:val="single" w:sz="4" w:space="0" w:color="auto"/>
            </w:tcBorders>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11,935</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BD5C78" w:rsidRDefault="00F7724F" w:rsidP="00F7724F">
            <w:pPr>
              <w:pStyle w:val="ConsPlusCell"/>
              <w:jc w:val="center"/>
              <w:rPr>
                <w:rFonts w:ascii="Times New Roman" w:hAnsi="Times New Roman" w:cs="Times New Roman"/>
                <w:sz w:val="20"/>
                <w:szCs w:val="20"/>
                <w:highlight w:val="yellow"/>
              </w:rPr>
            </w:pPr>
            <w:r w:rsidRPr="00BD5C78">
              <w:rPr>
                <w:rFonts w:ascii="Times New Roman" w:hAnsi="Times New Roman" w:cs="Times New Roman"/>
                <w:sz w:val="20"/>
                <w:szCs w:val="20"/>
                <w:highlight w:val="yellow"/>
              </w:rPr>
              <w:t>14,882</w:t>
            </w: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F7724F" w:rsidRDefault="00F7724F" w:rsidP="00F7724F">
            <w:pPr>
              <w:pStyle w:val="ConsPlusCell"/>
              <w:jc w:val="center"/>
              <w:rPr>
                <w:rFonts w:ascii="Times New Roman" w:hAnsi="Times New Roman" w:cs="Times New Roman"/>
                <w:sz w:val="20"/>
                <w:szCs w:val="20"/>
                <w:highlight w:val="yellow"/>
                <w:lang w:val="en-US"/>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17,050</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BD5C78" w:rsidRDefault="00F7724F" w:rsidP="00F7724F">
            <w:pPr>
              <w:pStyle w:val="ConsPlusCell"/>
              <w:jc w:val="center"/>
              <w:rPr>
                <w:rFonts w:ascii="Times New Roman" w:hAnsi="Times New Roman" w:cs="Times New Roman"/>
                <w:sz w:val="20"/>
                <w:szCs w:val="20"/>
                <w:highlight w:val="yellow"/>
              </w:rPr>
            </w:pPr>
            <w:r w:rsidRPr="00BD5C78">
              <w:rPr>
                <w:rFonts w:ascii="Times New Roman" w:hAnsi="Times New Roman" w:cs="Times New Roman"/>
                <w:sz w:val="20"/>
                <w:szCs w:val="20"/>
                <w:highlight w:val="yellow"/>
              </w:rPr>
              <w:t>21,260</w:t>
            </w: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21,313</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BD5C78" w:rsidRDefault="00F7724F" w:rsidP="00F7724F">
            <w:pPr>
              <w:pStyle w:val="ConsPlusCell"/>
              <w:jc w:val="center"/>
              <w:rPr>
                <w:rFonts w:ascii="Times New Roman" w:hAnsi="Times New Roman" w:cs="Times New Roman"/>
                <w:sz w:val="20"/>
                <w:szCs w:val="20"/>
                <w:highlight w:val="yellow"/>
              </w:rPr>
            </w:pPr>
            <w:r w:rsidRPr="00BD5C78">
              <w:rPr>
                <w:rFonts w:ascii="Times New Roman" w:hAnsi="Times New Roman" w:cs="Times New Roman"/>
                <w:sz w:val="20"/>
                <w:szCs w:val="20"/>
                <w:highlight w:val="yellow"/>
              </w:rPr>
              <w:t>26,576</w:t>
            </w: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11,935</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BD5C78" w:rsidRDefault="00F7724F" w:rsidP="00F7724F">
            <w:pPr>
              <w:pStyle w:val="ConsPlusCell"/>
              <w:jc w:val="center"/>
              <w:rPr>
                <w:rFonts w:ascii="Times New Roman" w:hAnsi="Times New Roman" w:cs="Times New Roman"/>
                <w:sz w:val="20"/>
                <w:szCs w:val="20"/>
                <w:highlight w:val="yellow"/>
              </w:rPr>
            </w:pPr>
            <w:r w:rsidRPr="00BD5C78">
              <w:rPr>
                <w:rFonts w:ascii="Times New Roman" w:hAnsi="Times New Roman" w:cs="Times New Roman"/>
                <w:sz w:val="20"/>
                <w:szCs w:val="20"/>
                <w:highlight w:val="yellow"/>
              </w:rPr>
              <w:t>14,882</w:t>
            </w: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BD5C78" w:rsidRDefault="00F7724F" w:rsidP="00F7724F">
            <w:pPr>
              <w:widowControl w:val="0"/>
              <w:autoSpaceDE w:val="0"/>
              <w:autoSpaceDN w:val="0"/>
              <w:spacing w:after="0" w:line="240" w:lineRule="auto"/>
              <w:jc w:val="center"/>
              <w:rPr>
                <w:rFonts w:ascii="Times New Roman" w:hAnsi="Times New Roman"/>
                <w:color w:val="auto"/>
                <w:sz w:val="20"/>
                <w:highlight w:val="yellow"/>
              </w:rPr>
            </w:pPr>
            <w:r w:rsidRPr="00BD5C78">
              <w:rPr>
                <w:rFonts w:ascii="Times New Roman" w:hAnsi="Times New Roman"/>
                <w:color w:val="auto"/>
                <w:sz w:val="20"/>
                <w:highlight w:val="yellow"/>
              </w:rPr>
              <w:t>19,608</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BD5C78" w:rsidRDefault="00F7724F" w:rsidP="00F7724F">
            <w:pPr>
              <w:pStyle w:val="ConsPlusCell"/>
              <w:jc w:val="center"/>
              <w:rPr>
                <w:rFonts w:ascii="Times New Roman" w:hAnsi="Times New Roman" w:cs="Times New Roman"/>
                <w:sz w:val="20"/>
                <w:szCs w:val="20"/>
                <w:highlight w:val="yellow"/>
              </w:rPr>
            </w:pPr>
            <w:r w:rsidRPr="00BD5C78">
              <w:rPr>
                <w:rFonts w:ascii="Times New Roman" w:hAnsi="Times New Roman" w:cs="Times New Roman"/>
                <w:sz w:val="20"/>
                <w:szCs w:val="20"/>
                <w:highlight w:val="yellow"/>
              </w:rPr>
              <w:t>24,450</w:t>
            </w: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F7724F" w:rsidRPr="00BD5C78" w:rsidRDefault="00F7724F" w:rsidP="00F7724F">
            <w:pPr>
              <w:pStyle w:val="ConsPlusCell"/>
              <w:jc w:val="center"/>
              <w:rPr>
                <w:rFonts w:ascii="Times New Roman" w:hAnsi="Times New Roman" w:cs="Times New Roman"/>
                <w:sz w:val="20"/>
                <w:szCs w:val="20"/>
                <w:highlight w:val="yellow"/>
              </w:rPr>
            </w:pPr>
          </w:p>
        </w:tc>
      </w:tr>
      <w:tr w:rsidR="00F7724F" w:rsidRPr="005821B6" w:rsidTr="0035692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236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018D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4A57F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14D3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0745D8">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2C35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AC0E3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F5A2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560D6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850464">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FE2D0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98495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EF32E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lastRenderedPageBreak/>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2A0D4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2D355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017CE8">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F3279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A36C38">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3D15C8">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F43EA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24001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D37EEB">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Одноставочный</w:t>
            </w:r>
            <w:proofErr w:type="spellEnd"/>
            <w:r w:rsidRPr="005821B6">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A2D1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B6043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5821B6" w:rsidRPr="00073B42" w:rsidRDefault="005821B6" w:rsidP="00073B42">
      <w:pPr>
        <w:spacing w:after="0" w:line="240" w:lineRule="auto"/>
        <w:ind w:right="-143" w:firstLine="567"/>
        <w:contextualSpacing/>
        <w:jc w:val="both"/>
        <w:rPr>
          <w:rFonts w:ascii="Times New Roman" w:hAnsi="Times New Roman"/>
          <w:bCs/>
          <w:sz w:val="16"/>
          <w:szCs w:val="16"/>
          <w:lang w:val="x-none"/>
        </w:rPr>
      </w:pPr>
      <w:r w:rsidRPr="00073B42">
        <w:rPr>
          <w:rFonts w:ascii="Times New Roman" w:hAnsi="Times New Roman"/>
          <w:sz w:val="16"/>
          <w:szCs w:val="16"/>
        </w:rPr>
        <w:t>Примечание:</w:t>
      </w:r>
      <w:r w:rsidRPr="00073B42">
        <w:rPr>
          <w:rFonts w:ascii="Times New Roman" w:hAnsi="Times New Roman"/>
          <w:bCs/>
          <w:sz w:val="16"/>
          <w:szCs w:val="16"/>
          <w:lang w:val="x-none"/>
        </w:rPr>
        <w:t xml:space="preserve"> </w:t>
      </w:r>
    </w:p>
    <w:p w:rsidR="005821B6" w:rsidRPr="00073B42" w:rsidRDefault="005821B6" w:rsidP="00073B42">
      <w:pPr>
        <w:spacing w:after="0" w:line="240" w:lineRule="auto"/>
        <w:ind w:firstLine="567"/>
        <w:contextualSpacing/>
        <w:jc w:val="both"/>
        <w:rPr>
          <w:rFonts w:ascii="Times New Roman" w:hAnsi="Times New Roman"/>
          <w:sz w:val="16"/>
          <w:szCs w:val="16"/>
        </w:rPr>
      </w:pPr>
      <w:r w:rsidRPr="00073B42">
        <w:rPr>
          <w:rFonts w:ascii="Times New Roman" w:hAnsi="Times New Roman"/>
          <w:sz w:val="16"/>
          <w:szCs w:val="16"/>
        </w:rPr>
        <w:t xml:space="preserve">&lt;1&gt; Данные тарифы утверждаются в том числе для случаев поставки электрической энергии (мощности) по договорам энергоснабжения покупателям на розничных рынках, </w:t>
      </w:r>
      <w:proofErr w:type="spellStart"/>
      <w:r w:rsidRPr="00073B42">
        <w:rPr>
          <w:rFonts w:ascii="Times New Roman" w:hAnsi="Times New Roman"/>
          <w:sz w:val="16"/>
          <w:szCs w:val="16"/>
        </w:rPr>
        <w:t>энергопринимающие</w:t>
      </w:r>
      <w:proofErr w:type="spellEnd"/>
      <w:r w:rsidRPr="00073B42">
        <w:rPr>
          <w:rFonts w:ascii="Times New Roman" w:hAnsi="Times New Roman"/>
          <w:sz w:val="16"/>
          <w:szCs w:val="16"/>
        </w:rPr>
        <w:t xml:space="preserve"> устройства которых присоединены к электрическим сетям сетевой организации через энергетические установки производителей электрической энергии</w:t>
      </w:r>
    </w:p>
    <w:p w:rsidR="005821B6" w:rsidRPr="00073B42" w:rsidRDefault="005821B6" w:rsidP="00073B42">
      <w:pPr>
        <w:spacing w:after="0" w:line="240" w:lineRule="auto"/>
        <w:ind w:firstLine="567"/>
        <w:contextualSpacing/>
        <w:jc w:val="both"/>
        <w:rPr>
          <w:rFonts w:ascii="Times New Roman" w:hAnsi="Times New Roman"/>
          <w:sz w:val="16"/>
          <w:szCs w:val="16"/>
        </w:rPr>
      </w:pPr>
      <w:r w:rsidRPr="00073B42">
        <w:rPr>
          <w:rFonts w:ascii="Times New Roman" w:hAnsi="Times New Roman"/>
          <w:sz w:val="16"/>
          <w:szCs w:val="16"/>
        </w:rPr>
        <w:t>&lt;2&gt; Интервалы тарифных зон суток (по месяцам календарного года) утверждаются Федеральной антимонопольной службой</w:t>
      </w:r>
    </w:p>
    <w:p w:rsidR="005821B6" w:rsidRPr="00073B42" w:rsidRDefault="005821B6" w:rsidP="00073B42">
      <w:pPr>
        <w:spacing w:after="0" w:line="240" w:lineRule="auto"/>
        <w:ind w:right="-284" w:firstLine="567"/>
        <w:contextualSpacing/>
        <w:jc w:val="both"/>
        <w:rPr>
          <w:rFonts w:ascii="Times New Roman" w:hAnsi="Times New Roman"/>
          <w:sz w:val="16"/>
          <w:szCs w:val="16"/>
        </w:rPr>
      </w:pPr>
      <w:r w:rsidRPr="00073B42">
        <w:rPr>
          <w:rFonts w:ascii="Times New Roman" w:eastAsia="Calibri" w:hAnsi="Times New Roman"/>
          <w:sz w:val="16"/>
          <w:szCs w:val="16"/>
          <w:lang w:eastAsia="en-US"/>
        </w:rPr>
        <w:t xml:space="preserve">&lt;3&gt; </w:t>
      </w:r>
      <w:r w:rsidRPr="00073B42">
        <w:rPr>
          <w:rFonts w:ascii="Times New Roman" w:hAnsi="Times New Roman"/>
          <w:sz w:val="16"/>
          <w:szCs w:val="16"/>
        </w:rPr>
        <w:t>Указанные цены (тарифы) применяются за отпускаемую электрическую энергию в целях поставки группе «прочие потребители» между АО «КЭС» и ПАО «Камчатскэнерго».</w:t>
      </w:r>
    </w:p>
    <w:p w:rsidR="005821B6" w:rsidRPr="00073B42" w:rsidRDefault="005821B6" w:rsidP="00073B42">
      <w:pPr>
        <w:spacing w:after="0" w:line="240" w:lineRule="auto"/>
        <w:ind w:right="-284" w:firstLine="567"/>
        <w:contextualSpacing/>
        <w:jc w:val="both"/>
        <w:rPr>
          <w:rFonts w:ascii="Times New Roman" w:hAnsi="Times New Roman"/>
          <w:sz w:val="16"/>
          <w:szCs w:val="16"/>
        </w:rPr>
      </w:pPr>
      <w:r w:rsidRPr="00073B42">
        <w:rPr>
          <w:rFonts w:ascii="Times New Roman" w:hAnsi="Times New Roman"/>
          <w:bCs/>
          <w:sz w:val="16"/>
          <w:szCs w:val="16"/>
        </w:rPr>
        <w:t xml:space="preserve">&lt;4&gt; </w:t>
      </w:r>
      <w:r w:rsidRPr="00073B42">
        <w:rPr>
          <w:rFonts w:ascii="Times New Roman" w:hAnsi="Times New Roman"/>
          <w:bCs/>
          <w:sz w:val="16"/>
          <w:szCs w:val="16"/>
          <w:lang w:val="x-none"/>
        </w:rPr>
        <w:t>Для расчетов з</w:t>
      </w:r>
      <w:r w:rsidRPr="00073B42">
        <w:rPr>
          <w:rFonts w:ascii="Times New Roman" w:hAnsi="Times New Roman"/>
          <w:sz w:val="16"/>
          <w:szCs w:val="16"/>
          <w:lang w:val="x-none"/>
        </w:rPr>
        <w:t xml:space="preserve">а отпускаемую электрическую энергию на генераторном напряжении </w:t>
      </w:r>
      <w:r w:rsidRPr="00073B42">
        <w:rPr>
          <w:rFonts w:ascii="Times New Roman" w:hAnsi="Times New Roman"/>
          <w:sz w:val="16"/>
          <w:szCs w:val="16"/>
        </w:rPr>
        <w:t xml:space="preserve">от ДЭС-5 (п. Октябрьский, </w:t>
      </w:r>
      <w:proofErr w:type="spellStart"/>
      <w:r w:rsidRPr="00073B42">
        <w:rPr>
          <w:rFonts w:ascii="Times New Roman" w:hAnsi="Times New Roman"/>
          <w:sz w:val="16"/>
          <w:szCs w:val="16"/>
        </w:rPr>
        <w:t>Усть</w:t>
      </w:r>
      <w:proofErr w:type="spellEnd"/>
      <w:r w:rsidRPr="00073B42">
        <w:rPr>
          <w:rFonts w:ascii="Times New Roman" w:hAnsi="Times New Roman"/>
          <w:sz w:val="16"/>
          <w:szCs w:val="16"/>
        </w:rPr>
        <w:t xml:space="preserve"> </w:t>
      </w:r>
      <w:r w:rsidR="00BA429C" w:rsidRPr="00073B42">
        <w:rPr>
          <w:rFonts w:ascii="Times New Roman" w:hAnsi="Times New Roman"/>
          <w:sz w:val="16"/>
          <w:szCs w:val="16"/>
        </w:rPr>
        <w:t>–</w:t>
      </w:r>
      <w:r w:rsidRPr="00073B42">
        <w:rPr>
          <w:rFonts w:ascii="Times New Roman" w:hAnsi="Times New Roman"/>
          <w:sz w:val="16"/>
          <w:szCs w:val="16"/>
        </w:rPr>
        <w:t xml:space="preserve"> Большерецкого района Камчатского края) применяется</w:t>
      </w:r>
      <w:r w:rsidRPr="00073B42">
        <w:rPr>
          <w:rFonts w:ascii="Times New Roman" w:hAnsi="Times New Roman"/>
          <w:sz w:val="16"/>
          <w:szCs w:val="16"/>
          <w:lang w:val="x-none"/>
        </w:rPr>
        <w:t xml:space="preserve"> тариф</w:t>
      </w:r>
      <w:r w:rsidR="0047574F" w:rsidRPr="00073B42">
        <w:rPr>
          <w:rFonts w:ascii="Times New Roman" w:hAnsi="Times New Roman"/>
          <w:sz w:val="16"/>
          <w:szCs w:val="16"/>
        </w:rPr>
        <w:t xml:space="preserve"> с 01.01.2024 по 31.12.2024</w:t>
      </w:r>
      <w:r w:rsidRPr="00073B42">
        <w:rPr>
          <w:rFonts w:ascii="Times New Roman" w:hAnsi="Times New Roman"/>
          <w:sz w:val="16"/>
          <w:szCs w:val="16"/>
        </w:rPr>
        <w:t xml:space="preserve"> – </w:t>
      </w:r>
      <w:r w:rsidRPr="00073B42">
        <w:rPr>
          <w:rFonts w:ascii="Times New Roman" w:hAnsi="Times New Roman"/>
          <w:sz w:val="16"/>
          <w:szCs w:val="16"/>
          <w:highlight w:val="yellow"/>
        </w:rPr>
        <w:t>252,573</w:t>
      </w:r>
      <w:r w:rsidRPr="00073B42">
        <w:rPr>
          <w:rFonts w:ascii="Times New Roman" w:hAnsi="Times New Roman"/>
          <w:sz w:val="16"/>
          <w:szCs w:val="16"/>
        </w:rPr>
        <w:t xml:space="preserve"> руб./кВт*ч (без НДС).</w:t>
      </w:r>
    </w:p>
    <w:p w:rsidR="005821B6" w:rsidRPr="00073B42" w:rsidRDefault="005821B6" w:rsidP="00073B42">
      <w:pPr>
        <w:spacing w:after="0" w:line="240" w:lineRule="auto"/>
        <w:ind w:right="-284" w:firstLine="567"/>
        <w:contextualSpacing/>
        <w:jc w:val="both"/>
        <w:rPr>
          <w:rFonts w:ascii="Times New Roman" w:hAnsi="Times New Roman"/>
          <w:sz w:val="16"/>
          <w:szCs w:val="16"/>
        </w:rPr>
      </w:pPr>
      <w:r w:rsidRPr="00073B42">
        <w:rPr>
          <w:rFonts w:ascii="Times New Roman" w:hAnsi="Times New Roman"/>
          <w:bCs/>
          <w:sz w:val="16"/>
          <w:szCs w:val="16"/>
        </w:rPr>
        <w:t xml:space="preserve">&lt;5&gt; </w:t>
      </w:r>
      <w:r w:rsidRPr="00073B42">
        <w:rPr>
          <w:rFonts w:ascii="Times New Roman" w:hAnsi="Times New Roman"/>
          <w:bCs/>
          <w:sz w:val="16"/>
          <w:szCs w:val="16"/>
          <w:lang w:val="x-none"/>
        </w:rPr>
        <w:t>Для расчетов з</w:t>
      </w:r>
      <w:r w:rsidRPr="00073B42">
        <w:rPr>
          <w:rFonts w:ascii="Times New Roman" w:hAnsi="Times New Roman"/>
          <w:sz w:val="16"/>
          <w:szCs w:val="16"/>
          <w:lang w:val="x-none"/>
        </w:rPr>
        <w:t xml:space="preserve">а отпускаемую электрическую энергию на генераторном напряжении </w:t>
      </w:r>
      <w:r w:rsidRPr="00073B42">
        <w:rPr>
          <w:rFonts w:ascii="Times New Roman" w:hAnsi="Times New Roman"/>
          <w:sz w:val="16"/>
          <w:szCs w:val="16"/>
        </w:rPr>
        <w:t xml:space="preserve">от ВЭУ (п. Октябрьский, </w:t>
      </w:r>
      <w:proofErr w:type="spellStart"/>
      <w:r w:rsidRPr="00073B42">
        <w:rPr>
          <w:rFonts w:ascii="Times New Roman" w:hAnsi="Times New Roman"/>
          <w:sz w:val="16"/>
          <w:szCs w:val="16"/>
        </w:rPr>
        <w:t>Усть</w:t>
      </w:r>
      <w:proofErr w:type="spellEnd"/>
      <w:r w:rsidRPr="00073B42">
        <w:rPr>
          <w:rFonts w:ascii="Times New Roman" w:hAnsi="Times New Roman"/>
          <w:sz w:val="16"/>
          <w:szCs w:val="16"/>
        </w:rPr>
        <w:t xml:space="preserve"> </w:t>
      </w:r>
      <w:r w:rsidR="00BA429C" w:rsidRPr="00073B42">
        <w:rPr>
          <w:rFonts w:ascii="Times New Roman" w:hAnsi="Times New Roman"/>
          <w:sz w:val="16"/>
          <w:szCs w:val="16"/>
        </w:rPr>
        <w:t>–</w:t>
      </w:r>
      <w:r w:rsidRPr="00073B42">
        <w:rPr>
          <w:rFonts w:ascii="Times New Roman" w:hAnsi="Times New Roman"/>
          <w:sz w:val="16"/>
          <w:szCs w:val="16"/>
        </w:rPr>
        <w:t>Большерецкого района Камчатского края) применяется</w:t>
      </w:r>
      <w:r w:rsidRPr="00073B42">
        <w:rPr>
          <w:rFonts w:ascii="Times New Roman" w:hAnsi="Times New Roman"/>
          <w:sz w:val="16"/>
          <w:szCs w:val="16"/>
          <w:lang w:val="x-none"/>
        </w:rPr>
        <w:t xml:space="preserve"> тариф</w:t>
      </w:r>
      <w:r w:rsidR="0047574F" w:rsidRPr="00073B42">
        <w:rPr>
          <w:rFonts w:ascii="Times New Roman" w:hAnsi="Times New Roman"/>
          <w:sz w:val="16"/>
          <w:szCs w:val="16"/>
        </w:rPr>
        <w:t xml:space="preserve"> с 01.01.2024 по 31.12.2024</w:t>
      </w:r>
      <w:r w:rsidRPr="00073B42">
        <w:rPr>
          <w:rFonts w:ascii="Times New Roman" w:hAnsi="Times New Roman"/>
          <w:sz w:val="16"/>
          <w:szCs w:val="16"/>
        </w:rPr>
        <w:t xml:space="preserve"> – </w:t>
      </w:r>
      <w:r w:rsidRPr="00073B42">
        <w:rPr>
          <w:rFonts w:ascii="Times New Roman" w:hAnsi="Times New Roman"/>
          <w:sz w:val="16"/>
          <w:szCs w:val="16"/>
          <w:highlight w:val="yellow"/>
        </w:rPr>
        <w:t>3,051</w:t>
      </w:r>
      <w:r w:rsidRPr="00073B42">
        <w:rPr>
          <w:rFonts w:ascii="Times New Roman" w:hAnsi="Times New Roman"/>
          <w:sz w:val="16"/>
          <w:szCs w:val="16"/>
        </w:rPr>
        <w:t> руб./кВт*ч (без НДС).</w:t>
      </w:r>
    </w:p>
    <w:p w:rsidR="005821B6" w:rsidRPr="00BA429C" w:rsidRDefault="00BA429C" w:rsidP="00BA429C">
      <w:pPr>
        <w:ind w:firstLine="567"/>
        <w:jc w:val="right"/>
        <w:rPr>
          <w:rFonts w:ascii="Times New Roman" w:hAnsi="Times New Roman"/>
          <w:sz w:val="28"/>
          <w:szCs w:val="28"/>
        </w:rPr>
      </w:pPr>
      <w:r w:rsidRPr="00BA429C">
        <w:rPr>
          <w:rFonts w:ascii="Times New Roman" w:hAnsi="Times New Roman"/>
          <w:sz w:val="28"/>
          <w:szCs w:val="28"/>
        </w:rPr>
        <w:t>».</w:t>
      </w:r>
    </w:p>
    <w:p w:rsidR="005821B6" w:rsidRDefault="005821B6" w:rsidP="005821B6">
      <w:pPr>
        <w:spacing w:after="0" w:line="240" w:lineRule="auto"/>
        <w:ind w:left="4819"/>
        <w:rPr>
          <w:rFonts w:ascii="Times New Roman" w:hAnsi="Times New Roman"/>
          <w:sz w:val="28"/>
        </w:rPr>
      </w:pPr>
      <w:r>
        <w:rPr>
          <w:rFonts w:ascii="Times New Roman" w:hAnsi="Times New Roman"/>
          <w:sz w:val="28"/>
        </w:rPr>
        <w:lastRenderedPageBreak/>
        <w:t>Приложение</w:t>
      </w:r>
      <w:r w:rsidR="0047574F">
        <w:rPr>
          <w:rFonts w:ascii="Times New Roman" w:hAnsi="Times New Roman"/>
          <w:sz w:val="28"/>
        </w:rPr>
        <w:t xml:space="preserve"> 3</w:t>
      </w:r>
    </w:p>
    <w:p w:rsidR="005821B6" w:rsidRDefault="005821B6" w:rsidP="005821B6">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5821B6" w:rsidRDefault="0047574F" w:rsidP="005821B6">
      <w:pPr>
        <w:spacing w:after="0" w:line="240" w:lineRule="auto"/>
        <w:ind w:left="4819"/>
        <w:rPr>
          <w:rFonts w:ascii="Times New Roman" w:hAnsi="Times New Roman"/>
          <w:sz w:val="28"/>
        </w:rPr>
      </w:pPr>
      <w:r>
        <w:rPr>
          <w:rFonts w:ascii="Times New Roman" w:hAnsi="Times New Roman"/>
          <w:sz w:val="28"/>
        </w:rPr>
        <w:t>от ХХ.ХХ</w:t>
      </w:r>
      <w:r w:rsidR="005821B6">
        <w:rPr>
          <w:rFonts w:ascii="Times New Roman" w:hAnsi="Times New Roman"/>
          <w:sz w:val="28"/>
        </w:rPr>
        <w:t>.2023 № ХХ-Н</w:t>
      </w:r>
    </w:p>
    <w:p w:rsidR="005821B6" w:rsidRPr="005821B6" w:rsidRDefault="005821B6" w:rsidP="005821B6">
      <w:pPr>
        <w:ind w:firstLine="567"/>
        <w:jc w:val="both"/>
        <w:rPr>
          <w:rFonts w:ascii="Times New Roman" w:hAnsi="Times New Roman"/>
          <w:bCs/>
          <w:szCs w:val="28"/>
        </w:rPr>
      </w:pPr>
    </w:p>
    <w:p w:rsidR="005821B6" w:rsidRPr="005821B6" w:rsidRDefault="005821B6" w:rsidP="005821B6">
      <w:pPr>
        <w:spacing w:after="0" w:line="240" w:lineRule="auto"/>
        <w:ind w:left="4819"/>
        <w:rPr>
          <w:rFonts w:ascii="Times New Roman" w:hAnsi="Times New Roman"/>
          <w:sz w:val="28"/>
        </w:rPr>
      </w:pPr>
      <w:r>
        <w:rPr>
          <w:rFonts w:ascii="Times New Roman" w:hAnsi="Times New Roman"/>
          <w:sz w:val="28"/>
        </w:rPr>
        <w:t>«</w:t>
      </w:r>
      <w:r w:rsidR="0047574F">
        <w:rPr>
          <w:rFonts w:ascii="Times New Roman" w:hAnsi="Times New Roman"/>
          <w:sz w:val="28"/>
        </w:rPr>
        <w:t>Приложение 7</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 xml:space="preserve">к постановлению Региональной службы   </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по тарифам и ценам Камчатского края</w:t>
      </w:r>
    </w:p>
    <w:p w:rsidR="005821B6" w:rsidRPr="005821B6" w:rsidRDefault="005821B6" w:rsidP="005821B6">
      <w:pPr>
        <w:spacing w:after="0" w:line="240" w:lineRule="auto"/>
        <w:ind w:left="4819"/>
        <w:rPr>
          <w:rFonts w:ascii="Times New Roman" w:hAnsi="Times New Roman"/>
          <w:sz w:val="28"/>
        </w:rPr>
      </w:pPr>
      <w:r w:rsidRPr="005821B6">
        <w:rPr>
          <w:rFonts w:ascii="Times New Roman" w:hAnsi="Times New Roman"/>
          <w:sz w:val="28"/>
        </w:rPr>
        <w:t>от 28.11.2022 № 439</w:t>
      </w:r>
    </w:p>
    <w:p w:rsidR="005821B6" w:rsidRPr="001558F8" w:rsidRDefault="005821B6" w:rsidP="005821B6">
      <w:pPr>
        <w:ind w:left="4678"/>
        <w:jc w:val="both"/>
      </w:pPr>
    </w:p>
    <w:p w:rsidR="005821B6" w:rsidRPr="005821B6" w:rsidRDefault="005821B6" w:rsidP="005821B6">
      <w:pPr>
        <w:widowControl w:val="0"/>
        <w:suppressAutoHyphens/>
        <w:ind w:left="357"/>
        <w:jc w:val="center"/>
        <w:rPr>
          <w:rFonts w:ascii="Times New Roman" w:eastAsia="Arial Unicode MS" w:hAnsi="Times New Roman"/>
          <w:sz w:val="28"/>
          <w:szCs w:val="28"/>
          <w:lang w:eastAsia="en-US" w:bidi="en-US"/>
        </w:rPr>
      </w:pPr>
      <w:r w:rsidRPr="005821B6">
        <w:rPr>
          <w:rFonts w:ascii="Times New Roman" w:eastAsia="Arial Unicode MS" w:hAnsi="Times New Roman"/>
          <w:sz w:val="28"/>
          <w:szCs w:val="28"/>
          <w:lang w:eastAsia="en-US" w:bidi="en-US"/>
        </w:rPr>
        <w:t xml:space="preserve">Цены (тарифы) на электрическую энергию </w:t>
      </w:r>
      <w:r w:rsidRPr="005821B6">
        <w:rPr>
          <w:rFonts w:ascii="Times New Roman" w:hAnsi="Times New Roman"/>
          <w:bCs/>
          <w:sz w:val="28"/>
          <w:szCs w:val="28"/>
        </w:rPr>
        <w:t xml:space="preserve">Акционерным обществом «Камчатские электрические сети им. И.А. Пискунова» </w:t>
      </w:r>
      <w:r w:rsidRPr="005821B6">
        <w:rPr>
          <w:rFonts w:ascii="Times New Roman" w:eastAsia="Arial Unicode MS" w:hAnsi="Times New Roman"/>
          <w:sz w:val="28"/>
          <w:szCs w:val="28"/>
          <w:lang w:eastAsia="en-US" w:bidi="en-US"/>
        </w:rPr>
        <w:t xml:space="preserve">для населения и приравненных к нему категорий потребителей по Камчатскому краю, </w:t>
      </w:r>
    </w:p>
    <w:p w:rsidR="005821B6" w:rsidRPr="005821B6" w:rsidRDefault="005821B6" w:rsidP="005821B6">
      <w:pPr>
        <w:widowControl w:val="0"/>
        <w:suppressAutoHyphens/>
        <w:ind w:left="357"/>
        <w:jc w:val="center"/>
        <w:rPr>
          <w:rFonts w:ascii="Times New Roman" w:eastAsia="Arial Unicode MS" w:hAnsi="Times New Roman"/>
          <w:sz w:val="28"/>
          <w:szCs w:val="28"/>
          <w:lang w:eastAsia="en-US" w:bidi="en-US"/>
        </w:rPr>
      </w:pPr>
      <w:r>
        <w:rPr>
          <w:rFonts w:ascii="Times New Roman" w:eastAsia="Arial Unicode MS" w:hAnsi="Times New Roman"/>
          <w:sz w:val="28"/>
          <w:szCs w:val="28"/>
          <w:lang w:eastAsia="en-US" w:bidi="en-US"/>
        </w:rPr>
        <w:t>на 2024</w:t>
      </w:r>
      <w:r w:rsidRPr="005821B6">
        <w:rPr>
          <w:rFonts w:ascii="Times New Roman" w:eastAsia="Arial Unicode MS" w:hAnsi="Times New Roman"/>
          <w:sz w:val="28"/>
          <w:szCs w:val="28"/>
          <w:lang w:eastAsia="en-US" w:bidi="en-US"/>
        </w:rPr>
        <w:t xml:space="preserve"> год</w:t>
      </w:r>
    </w:p>
    <w:p w:rsidR="005821B6" w:rsidRPr="00B90784" w:rsidRDefault="005821B6" w:rsidP="005821B6">
      <w:pPr>
        <w:ind w:firstLine="567"/>
        <w:jc w:val="both"/>
      </w:pPr>
    </w:p>
    <w:tbl>
      <w:tblPr>
        <w:tblStyle w:val="35"/>
        <w:tblW w:w="9493" w:type="dxa"/>
        <w:tblLayout w:type="fixed"/>
        <w:tblLook w:val="04A0" w:firstRow="1" w:lastRow="0" w:firstColumn="1" w:lastColumn="0" w:noHBand="0" w:noVBand="1"/>
      </w:tblPr>
      <w:tblGrid>
        <w:gridCol w:w="704"/>
        <w:gridCol w:w="4394"/>
        <w:gridCol w:w="2268"/>
        <w:gridCol w:w="2127"/>
      </w:tblGrid>
      <w:tr w:rsidR="004C2A7E" w:rsidRPr="001714C3" w:rsidTr="004C2A7E">
        <w:tc>
          <w:tcPr>
            <w:tcW w:w="704" w:type="dxa"/>
            <w:vMerge w:val="restart"/>
            <w:vAlign w:val="center"/>
          </w:tcPr>
          <w:p w:rsidR="004C2A7E" w:rsidRPr="001714C3" w:rsidRDefault="004C2A7E" w:rsidP="00BD5C78">
            <w:pPr>
              <w:widowControl w:val="0"/>
              <w:suppressAutoHyphens/>
              <w:jc w:val="center"/>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 п/п</w:t>
            </w:r>
          </w:p>
        </w:tc>
        <w:tc>
          <w:tcPr>
            <w:tcW w:w="4394" w:type="dxa"/>
            <w:vMerge w:val="restart"/>
            <w:vAlign w:val="center"/>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Категории потребителей с разбивкой по ставкам и дифференциацией по зонам суток</w:t>
            </w:r>
          </w:p>
        </w:tc>
        <w:tc>
          <w:tcPr>
            <w:tcW w:w="4395" w:type="dxa"/>
            <w:gridSpan w:val="2"/>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Цена (тариф), руб./</w:t>
            </w:r>
            <w:proofErr w:type="spellStart"/>
            <w:r w:rsidRPr="001714C3">
              <w:rPr>
                <w:rFonts w:ascii="Times New Roman" w:eastAsia="Arial Unicode MS" w:hAnsi="Times New Roman" w:cs="Tahoma"/>
                <w:sz w:val="20"/>
                <w:szCs w:val="20"/>
                <w:lang w:bidi="en-US"/>
              </w:rPr>
              <w:t>кВт·ч</w:t>
            </w:r>
            <w:proofErr w:type="spellEnd"/>
            <w:r w:rsidRPr="001714C3">
              <w:rPr>
                <w:rFonts w:ascii="Times New Roman" w:eastAsia="Arial Unicode MS" w:hAnsi="Times New Roman" w:cs="Tahoma"/>
                <w:sz w:val="20"/>
                <w:szCs w:val="20"/>
                <w:lang w:bidi="en-US"/>
              </w:rPr>
              <w:t xml:space="preserve"> </w:t>
            </w:r>
          </w:p>
          <w:p w:rsidR="004C2A7E" w:rsidRPr="001714C3" w:rsidRDefault="004C2A7E" w:rsidP="00BD5C78">
            <w:pPr>
              <w:widowControl w:val="0"/>
              <w:suppressAutoHyphens/>
              <w:jc w:val="center"/>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(с учетом НДС)</w:t>
            </w:r>
          </w:p>
        </w:tc>
      </w:tr>
      <w:tr w:rsidR="004C2A7E" w:rsidRPr="001714C3" w:rsidTr="004C2A7E">
        <w:tc>
          <w:tcPr>
            <w:tcW w:w="704" w:type="dxa"/>
            <w:vMerge/>
          </w:tcPr>
          <w:p w:rsidR="004C2A7E" w:rsidRPr="001714C3" w:rsidRDefault="004C2A7E" w:rsidP="004C2A7E">
            <w:pPr>
              <w:widowControl w:val="0"/>
              <w:suppressAutoHyphens/>
              <w:jc w:val="center"/>
              <w:rPr>
                <w:rFonts w:ascii="Times New Roman" w:eastAsia="Arial Unicode MS" w:hAnsi="Times New Roman"/>
                <w:sz w:val="20"/>
                <w:szCs w:val="20"/>
                <w:lang w:bidi="en-US"/>
              </w:rPr>
            </w:pPr>
          </w:p>
        </w:tc>
        <w:tc>
          <w:tcPr>
            <w:tcW w:w="4394" w:type="dxa"/>
            <w:vMerge/>
          </w:tcPr>
          <w:p w:rsidR="004C2A7E" w:rsidRPr="001714C3" w:rsidRDefault="004C2A7E" w:rsidP="004C2A7E">
            <w:pPr>
              <w:widowControl w:val="0"/>
              <w:suppressAutoHyphens/>
              <w:jc w:val="center"/>
              <w:rPr>
                <w:rFonts w:ascii="Times New Roman" w:eastAsia="Arial Unicode MS" w:hAnsi="Times New Roman" w:cs="Tahoma"/>
                <w:sz w:val="20"/>
                <w:szCs w:val="20"/>
                <w:lang w:bidi="en-US"/>
              </w:rPr>
            </w:pPr>
          </w:p>
        </w:tc>
        <w:tc>
          <w:tcPr>
            <w:tcW w:w="2268" w:type="dxa"/>
            <w:tcBorders>
              <w:right w:val="single" w:sz="4" w:space="0" w:color="auto"/>
            </w:tcBorders>
          </w:tcPr>
          <w:p w:rsidR="004C2A7E" w:rsidRPr="00E31C59" w:rsidRDefault="004C2A7E" w:rsidP="004C2A7E">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4C2A7E" w:rsidRPr="00E31C59" w:rsidRDefault="004C2A7E" w:rsidP="004C2A7E">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127" w:type="dxa"/>
            <w:tcBorders>
              <w:right w:val="single" w:sz="4" w:space="0" w:color="auto"/>
            </w:tcBorders>
          </w:tcPr>
          <w:p w:rsidR="004C2A7E" w:rsidRPr="00E31C59" w:rsidRDefault="004C2A7E" w:rsidP="004C2A7E">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4C2A7E" w:rsidRPr="00E31C59" w:rsidRDefault="004C2A7E" w:rsidP="004C2A7E">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4C2A7E" w:rsidRPr="001714C3" w:rsidTr="004C2A7E">
        <w:tc>
          <w:tcPr>
            <w:tcW w:w="704" w:type="dxa"/>
          </w:tcPr>
          <w:p w:rsidR="004C2A7E" w:rsidRPr="001714C3" w:rsidRDefault="004C2A7E" w:rsidP="00BD5C78">
            <w:pPr>
              <w:widowControl w:val="0"/>
              <w:suppressAutoHyphens/>
              <w:jc w:val="center"/>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1</w:t>
            </w:r>
          </w:p>
        </w:tc>
        <w:tc>
          <w:tcPr>
            <w:tcW w:w="4394" w:type="dxa"/>
          </w:tcPr>
          <w:p w:rsidR="004C2A7E" w:rsidRPr="001714C3" w:rsidRDefault="004C2A7E" w:rsidP="00BD5C78">
            <w:pPr>
              <w:widowControl w:val="0"/>
              <w:suppressAutoHyphens/>
              <w:ind w:firstLine="286"/>
              <w:jc w:val="center"/>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2</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3</w:t>
            </w:r>
          </w:p>
        </w:tc>
        <w:tc>
          <w:tcPr>
            <w:tcW w:w="2127"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lang w:bidi="en-US"/>
              </w:rPr>
            </w:pP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1</w:t>
            </w:r>
          </w:p>
        </w:tc>
        <w:tc>
          <w:tcPr>
            <w:tcW w:w="8789" w:type="dxa"/>
            <w:gridSpan w:val="3"/>
            <w:tcBorders>
              <w:right w:val="single" w:sz="4" w:space="0" w:color="auto"/>
            </w:tcBorders>
          </w:tcPr>
          <w:p w:rsidR="004C2A7E" w:rsidRPr="001714C3" w:rsidRDefault="004C2A7E" w:rsidP="00BD5C78">
            <w:pPr>
              <w:widowControl w:val="0"/>
              <w:suppressAutoHyphens/>
              <w:ind w:firstLine="286"/>
              <w:jc w:val="both"/>
              <w:rPr>
                <w:rFonts w:ascii="Times New Roman" w:eastAsia="Arial Unicode MS" w:hAnsi="Times New Roman"/>
                <w:sz w:val="20"/>
                <w:szCs w:val="20"/>
                <w:lang w:bidi="en-US"/>
              </w:rPr>
            </w:pPr>
            <w:r w:rsidRPr="001714C3">
              <w:rPr>
                <w:rFonts w:ascii="Times New Roman" w:eastAsia="Arial Unicode MS" w:hAnsi="Times New Roman" w:cs="Tahoma"/>
                <w:sz w:val="20"/>
                <w:szCs w:val="20"/>
                <w:lang w:bidi="en-US"/>
              </w:rPr>
              <w:t xml:space="preserve">Население и </w:t>
            </w:r>
            <w:r w:rsidRPr="001714C3">
              <w:rPr>
                <w:rFonts w:ascii="Times New Roman" w:eastAsia="Arial Unicode MS" w:hAnsi="Times New Roman"/>
                <w:sz w:val="20"/>
                <w:szCs w:val="20"/>
                <w:lang w:bidi="en-US"/>
              </w:rPr>
              <w:t>приравненные к нему, за исключением населения и потребителей, указанных в строках 2 – 5:</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sz w:val="20"/>
                <w:szCs w:val="20"/>
                <w:lang w:bidi="en-US"/>
              </w:rPr>
              <w:t>исполнители коммунальных услуг (товарищества</w:t>
            </w:r>
            <w:r w:rsidRPr="001714C3">
              <w:rPr>
                <w:rFonts w:ascii="Times New Roman" w:eastAsia="Arial Unicode MS" w:hAnsi="Times New Roman" w:cs="Tahoma"/>
                <w:sz w:val="20"/>
                <w:szCs w:val="20"/>
                <w:lang w:bidi="en-US"/>
              </w:rPr>
              <w:t xml:space="preserve">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наймодатели</w:t>
            </w:r>
            <w:proofErr w:type="spellEnd"/>
            <w:r w:rsidRPr="001714C3">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1714C3" w:rsidRDefault="004C2A7E" w:rsidP="00BD5C78">
            <w:pPr>
              <w:widowControl w:val="0"/>
              <w:suppressAutoHyphens/>
              <w:ind w:firstLine="28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2A7E" w:rsidRPr="001714C3" w:rsidTr="004C2A7E">
        <w:tc>
          <w:tcPr>
            <w:tcW w:w="704" w:type="dxa"/>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1.1</w:t>
            </w: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25,513</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r w:rsidRPr="0047574F">
              <w:rPr>
                <w:rFonts w:ascii="Times New Roman" w:eastAsia="Arial Unicode MS" w:hAnsi="Times New Roman" w:cs="Tahoma"/>
                <w:sz w:val="20"/>
                <w:szCs w:val="20"/>
                <w:highlight w:val="yellow"/>
                <w:lang w:bidi="en-US"/>
              </w:rPr>
              <w:t>25,513</w:t>
            </w:r>
          </w:p>
        </w:tc>
      </w:tr>
      <w:tr w:rsidR="004C2A7E" w:rsidRPr="001714C3" w:rsidTr="004C2A7E">
        <w:tc>
          <w:tcPr>
            <w:tcW w:w="704" w:type="dxa"/>
            <w:vMerge w:val="restart"/>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1.2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29,339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1.3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31,891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25,513</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2</w:t>
            </w:r>
          </w:p>
        </w:tc>
        <w:tc>
          <w:tcPr>
            <w:tcW w:w="8789" w:type="dxa"/>
            <w:gridSpan w:val="3"/>
            <w:tcBorders>
              <w:right w:val="single" w:sz="4" w:space="0" w:color="auto"/>
            </w:tcBorders>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w:t>
            </w:r>
            <w:r w:rsidRPr="001714C3">
              <w:rPr>
                <w:rFonts w:ascii="Times New Roman" w:eastAsia="Arial Unicode MS" w:hAnsi="Times New Roman" w:cs="Tahoma"/>
                <w:sz w:val="20"/>
                <w:szCs w:val="20"/>
                <w:lang w:bidi="en-US"/>
              </w:rPr>
              <w:lastRenderedPageBreak/>
              <w:t xml:space="preserve">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наймодатели</w:t>
            </w:r>
            <w:proofErr w:type="spellEnd"/>
            <w:r w:rsidRPr="001714C3">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1714C3" w:rsidRDefault="004C2A7E" w:rsidP="00BD5C78">
            <w:pPr>
              <w:widowControl w:val="0"/>
              <w:suppressAutoHyphens/>
              <w:ind w:firstLine="28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2A7E" w:rsidRPr="001714C3" w:rsidTr="004C2A7E">
        <w:tc>
          <w:tcPr>
            <w:tcW w:w="704" w:type="dxa"/>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lastRenderedPageBreak/>
              <w:t>2.1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2.2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2.3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jc w:val="both"/>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tcPr>
          <w:p w:rsidR="004C2A7E" w:rsidRPr="001714C3" w:rsidRDefault="004C2A7E" w:rsidP="00BD5C78">
            <w:pPr>
              <w:widowControl w:val="0"/>
              <w:suppressAutoHyphens/>
              <w:jc w:val="both"/>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3</w:t>
            </w:r>
          </w:p>
        </w:tc>
        <w:tc>
          <w:tcPr>
            <w:tcW w:w="8789" w:type="dxa"/>
            <w:gridSpan w:val="3"/>
            <w:tcBorders>
              <w:right w:val="single" w:sz="4" w:space="0" w:color="auto"/>
            </w:tcBorders>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наймодатели</w:t>
            </w:r>
            <w:proofErr w:type="spellEnd"/>
            <w:r w:rsidRPr="001714C3">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1714C3" w:rsidRDefault="004C2A7E" w:rsidP="00BD5C78">
            <w:pPr>
              <w:widowControl w:val="0"/>
              <w:suppressAutoHyphens/>
              <w:ind w:firstLine="28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3.1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3.2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3.3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4</w:t>
            </w:r>
          </w:p>
        </w:tc>
        <w:tc>
          <w:tcPr>
            <w:tcW w:w="8789" w:type="dxa"/>
            <w:gridSpan w:val="3"/>
            <w:tcBorders>
              <w:right w:val="single" w:sz="4" w:space="0" w:color="auto"/>
            </w:tcBorders>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lastRenderedPageBreak/>
              <w:t>наймодатели</w:t>
            </w:r>
            <w:proofErr w:type="spellEnd"/>
            <w:r w:rsidRPr="001714C3">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1714C3" w:rsidRDefault="004C2A7E" w:rsidP="00BD5C78">
            <w:pPr>
              <w:widowControl w:val="0"/>
              <w:suppressAutoHyphens/>
              <w:ind w:firstLine="28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lastRenderedPageBreak/>
              <w:t>4.1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4.2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4.3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val="en-US" w:bidi="en-US"/>
              </w:rPr>
              <w:t>5</w:t>
            </w:r>
          </w:p>
        </w:tc>
        <w:tc>
          <w:tcPr>
            <w:tcW w:w="8789" w:type="dxa"/>
            <w:gridSpan w:val="3"/>
            <w:tcBorders>
              <w:right w:val="single" w:sz="4" w:space="0" w:color="auto"/>
            </w:tcBorders>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Население, проживающее в сельских населенных пунктах, и приравненные к нему:</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наймодатели</w:t>
            </w:r>
            <w:proofErr w:type="spellEnd"/>
            <w:r w:rsidRPr="001714C3">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1714C3" w:rsidRDefault="004C2A7E" w:rsidP="00BD5C78">
            <w:pPr>
              <w:widowControl w:val="0"/>
              <w:suppressAutoHyphens/>
              <w:ind w:firstLine="28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5.1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5.2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5.3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6</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Потребители, приравненные к населению:</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6.1</w:t>
            </w:r>
          </w:p>
        </w:tc>
        <w:tc>
          <w:tcPr>
            <w:tcW w:w="8789" w:type="dxa"/>
            <w:gridSpan w:val="3"/>
            <w:tcBorders>
              <w:right w:val="single" w:sz="4" w:space="0" w:color="auto"/>
            </w:tcBorders>
          </w:tcPr>
          <w:p w:rsidR="004C2A7E" w:rsidRPr="001714C3" w:rsidRDefault="004C2A7E" w:rsidP="00BD5C78">
            <w:pPr>
              <w:widowControl w:val="0"/>
              <w:suppressAutoHyphens/>
              <w:ind w:firstLine="17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1714C3">
              <w:rPr>
                <w:rFonts w:ascii="Times New Roman" w:eastAsia="Arial Unicode MS" w:hAnsi="Times New Roman" w:cs="Tahoma"/>
                <w:sz w:val="20"/>
                <w:szCs w:val="20"/>
                <w:lang w:bidi="en-US"/>
              </w:rPr>
              <w:t>наймодатели</w:t>
            </w:r>
            <w:proofErr w:type="spellEnd"/>
            <w:r w:rsidRPr="001714C3">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w:t>
            </w:r>
            <w:r w:rsidRPr="001714C3">
              <w:rPr>
                <w:rFonts w:ascii="Times New Roman" w:eastAsia="Arial Unicode MS" w:hAnsi="Times New Roman" w:cs="Tahoma"/>
                <w:sz w:val="20"/>
                <w:szCs w:val="20"/>
                <w:lang w:bidi="en-US"/>
              </w:rPr>
              <w:lastRenderedPageBreak/>
              <w:t xml:space="preserve">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1714C3" w:rsidRDefault="004C2A7E" w:rsidP="00BD5C78">
            <w:pPr>
              <w:widowControl w:val="0"/>
              <w:suppressAutoHyphens/>
              <w:ind w:firstLine="176"/>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наймодателей</w:t>
            </w:r>
            <w:proofErr w:type="spellEnd"/>
            <w:r w:rsidRPr="001714C3">
              <w:rPr>
                <w:rFonts w:ascii="Times New Roman" w:eastAsia="Arial Unicode MS" w:hAnsi="Times New Roman"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lastRenderedPageBreak/>
              <w:t>6.1.1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6.1.2</w:t>
            </w:r>
          </w:p>
        </w:tc>
        <w:tc>
          <w:tcPr>
            <w:tcW w:w="6662" w:type="dxa"/>
            <w:gridSpan w:val="2"/>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c>
          <w:tcPr>
            <w:tcW w:w="2127"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6.1.3</w:t>
            </w:r>
          </w:p>
        </w:tc>
        <w:tc>
          <w:tcPr>
            <w:tcW w:w="6662" w:type="dxa"/>
            <w:gridSpan w:val="2"/>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c>
          <w:tcPr>
            <w:tcW w:w="2127"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F45F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6</w:t>
            </w:r>
            <w:r w:rsidRPr="001714C3">
              <w:rPr>
                <w:rFonts w:ascii="Times New Roman" w:eastAsia="Arial Unicode MS" w:hAnsi="Times New Roman"/>
                <w:sz w:val="20"/>
                <w:szCs w:val="20"/>
                <w:lang w:bidi="en-US"/>
              </w:rPr>
              <w:t>.2</w:t>
            </w:r>
          </w:p>
        </w:tc>
        <w:tc>
          <w:tcPr>
            <w:tcW w:w="8789" w:type="dxa"/>
            <w:gridSpan w:val="3"/>
            <w:tcBorders>
              <w:right w:val="single" w:sz="4" w:space="0" w:color="auto"/>
            </w:tcBorders>
          </w:tcPr>
          <w:p w:rsidR="004C2A7E" w:rsidRPr="001714C3" w:rsidRDefault="004C2A7E" w:rsidP="00BD5C78">
            <w:pPr>
              <w:widowControl w:val="0"/>
              <w:suppressAutoHyphens/>
              <w:ind w:firstLine="17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Садоводческие некоммерческие товарищества и огороднические некоммерческие товарищества.</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6.2.1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6077A0">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6.2.2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235E21">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6.2.3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2F3B6A">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6</w:t>
            </w:r>
            <w:r w:rsidRPr="001714C3">
              <w:rPr>
                <w:rFonts w:ascii="Times New Roman" w:eastAsia="Arial Unicode MS" w:hAnsi="Times New Roman"/>
                <w:sz w:val="20"/>
                <w:szCs w:val="20"/>
                <w:lang w:bidi="en-US"/>
              </w:rPr>
              <w:t>.3</w:t>
            </w:r>
          </w:p>
        </w:tc>
        <w:tc>
          <w:tcPr>
            <w:tcW w:w="8789" w:type="dxa"/>
            <w:gridSpan w:val="3"/>
            <w:tcBorders>
              <w:right w:val="single" w:sz="4" w:space="0" w:color="auto"/>
            </w:tcBorders>
          </w:tcPr>
          <w:p w:rsidR="004C2A7E" w:rsidRPr="001714C3" w:rsidRDefault="004C2A7E" w:rsidP="00BD5C78">
            <w:pPr>
              <w:widowControl w:val="0"/>
              <w:suppressAutoHyphens/>
              <w:ind w:firstLine="17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6.3.1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776723">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6.3.2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98671A">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6.3.3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E62E4B">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6</w:t>
            </w:r>
            <w:r w:rsidRPr="001714C3">
              <w:rPr>
                <w:rFonts w:ascii="Times New Roman" w:eastAsia="Arial Unicode MS" w:hAnsi="Times New Roman"/>
                <w:sz w:val="20"/>
                <w:szCs w:val="20"/>
                <w:lang w:bidi="en-US"/>
              </w:rPr>
              <w:t>.4</w:t>
            </w:r>
          </w:p>
        </w:tc>
        <w:tc>
          <w:tcPr>
            <w:tcW w:w="8789" w:type="dxa"/>
            <w:gridSpan w:val="3"/>
            <w:tcBorders>
              <w:right w:val="single" w:sz="4" w:space="0" w:color="auto"/>
            </w:tcBorders>
          </w:tcPr>
          <w:p w:rsidR="004C2A7E" w:rsidRPr="001714C3" w:rsidRDefault="004C2A7E" w:rsidP="00BD5C78">
            <w:pPr>
              <w:widowControl w:val="0"/>
              <w:suppressAutoHyphens/>
              <w:ind w:firstLine="17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Содержащиеся за счет прихожан религиозные организации.</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6.4.1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FC67E9">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6.4.2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DF7B61">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6.4.3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5C56FE">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bidi="en-US"/>
              </w:rPr>
              <w:t>6.5</w:t>
            </w:r>
          </w:p>
        </w:tc>
        <w:tc>
          <w:tcPr>
            <w:tcW w:w="8789" w:type="dxa"/>
            <w:gridSpan w:val="3"/>
            <w:tcBorders>
              <w:right w:val="single" w:sz="4" w:space="0" w:color="auto"/>
            </w:tcBorders>
          </w:tcPr>
          <w:p w:rsidR="004C2A7E" w:rsidRPr="001714C3" w:rsidRDefault="004C2A7E" w:rsidP="00BD5C78">
            <w:pPr>
              <w:widowControl w:val="0"/>
              <w:suppressAutoHyphens/>
              <w:ind w:firstLine="17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 xml:space="preserve">Гарантирующие поставщики, </w:t>
            </w:r>
            <w:proofErr w:type="spellStart"/>
            <w:r w:rsidRPr="001714C3">
              <w:rPr>
                <w:rFonts w:ascii="Times New Roman" w:eastAsia="Arial Unicode MS" w:hAnsi="Times New Roman" w:cs="Tahoma"/>
                <w:sz w:val="20"/>
                <w:szCs w:val="20"/>
                <w:lang w:bidi="en-US"/>
              </w:rPr>
              <w:t>энергосбытовые</w:t>
            </w:r>
            <w:proofErr w:type="spellEnd"/>
            <w:r w:rsidRPr="001714C3">
              <w:rPr>
                <w:rFonts w:ascii="Times New Roman" w:eastAsia="Arial Unicode MS" w:hAnsi="Times New Roman" w:cs="Tahoma"/>
                <w:sz w:val="20"/>
                <w:szCs w:val="20"/>
                <w:lang w:bidi="en-US"/>
              </w:rPr>
              <w:t xml:space="preserve">, </w:t>
            </w:r>
            <w:proofErr w:type="spellStart"/>
            <w:r w:rsidRPr="001714C3">
              <w:rPr>
                <w:rFonts w:ascii="Times New Roman" w:eastAsia="Arial Unicode MS" w:hAnsi="Times New Roman" w:cs="Tahoma"/>
                <w:sz w:val="20"/>
                <w:szCs w:val="20"/>
                <w:lang w:bidi="en-US"/>
              </w:rPr>
              <w:t>энергоснабжающие</w:t>
            </w:r>
            <w:proofErr w:type="spellEnd"/>
            <w:r w:rsidRPr="001714C3">
              <w:rPr>
                <w:rFonts w:ascii="Times New Roman" w:eastAsia="Arial Unicode MS" w:hAnsi="Times New Roman"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bidi="en-US"/>
              </w:rPr>
              <w:t>6.5.1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78791B">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bidi="en-US"/>
              </w:rPr>
              <w:t>6.5.2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2F01D4">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bidi="en-US"/>
              </w:rPr>
              <w:t>6.5.3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FD7F7B">
        <w:tc>
          <w:tcPr>
            <w:tcW w:w="704" w:type="dxa"/>
          </w:tcPr>
          <w:p w:rsidR="004C2A7E" w:rsidRPr="001714C3" w:rsidRDefault="004C2A7E" w:rsidP="00BD5C78">
            <w:pPr>
              <w:widowControl w:val="0"/>
              <w:suppressAutoHyphens/>
              <w:rPr>
                <w:rFonts w:ascii="Times New Roman" w:eastAsia="Arial Unicode MS" w:hAnsi="Times New Roman"/>
                <w:sz w:val="20"/>
                <w:szCs w:val="20"/>
                <w:lang w:bidi="en-US"/>
              </w:rPr>
            </w:pPr>
            <w:r w:rsidRPr="001714C3">
              <w:rPr>
                <w:rFonts w:ascii="Times New Roman" w:eastAsia="Arial Unicode MS" w:hAnsi="Times New Roman"/>
                <w:sz w:val="20"/>
                <w:szCs w:val="20"/>
                <w:lang w:val="en-US" w:bidi="en-US"/>
              </w:rPr>
              <w:t>6</w:t>
            </w:r>
            <w:r w:rsidRPr="001714C3">
              <w:rPr>
                <w:rFonts w:ascii="Times New Roman" w:eastAsia="Arial Unicode MS" w:hAnsi="Times New Roman"/>
                <w:sz w:val="20"/>
                <w:szCs w:val="20"/>
                <w:lang w:bidi="en-US"/>
              </w:rPr>
              <w:t>.6</w:t>
            </w:r>
          </w:p>
        </w:tc>
        <w:tc>
          <w:tcPr>
            <w:tcW w:w="8789" w:type="dxa"/>
            <w:gridSpan w:val="3"/>
            <w:tcBorders>
              <w:right w:val="single" w:sz="4" w:space="0" w:color="auto"/>
            </w:tcBorders>
          </w:tcPr>
          <w:p w:rsidR="004C2A7E" w:rsidRPr="001714C3" w:rsidRDefault="004C2A7E" w:rsidP="00BD5C78">
            <w:pPr>
              <w:widowControl w:val="0"/>
              <w:suppressAutoHyphens/>
              <w:ind w:firstLine="17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4C2A7E" w:rsidRPr="001714C3" w:rsidRDefault="004C2A7E" w:rsidP="00BD5C78">
            <w:pPr>
              <w:widowControl w:val="0"/>
              <w:suppressAutoHyphens/>
              <w:ind w:firstLine="176"/>
              <w:jc w:val="both"/>
              <w:rPr>
                <w:rFonts w:ascii="Times New Roman" w:eastAsia="Arial Unicode MS" w:hAnsi="Times New Roman" w:cs="Tahoma"/>
                <w:sz w:val="20"/>
                <w:lang w:bidi="en-US"/>
              </w:rPr>
            </w:pPr>
            <w:r w:rsidRPr="001714C3">
              <w:rPr>
                <w:rFonts w:ascii="Times New Roman" w:eastAsia="Arial Unicode MS" w:hAnsi="Times New Roman"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4C2A7E" w:rsidRPr="001714C3" w:rsidTr="004C2A7E">
        <w:tc>
          <w:tcPr>
            <w:tcW w:w="704" w:type="dxa"/>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bidi="en-US"/>
              </w:rPr>
              <w:t>6.6.1</w:t>
            </w:r>
          </w:p>
        </w:tc>
        <w:tc>
          <w:tcPr>
            <w:tcW w:w="4394" w:type="dxa"/>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szCs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w:t>
            </w:r>
          </w:p>
        </w:tc>
        <w:tc>
          <w:tcPr>
            <w:tcW w:w="2268" w:type="dxa"/>
            <w:tcBorders>
              <w:right w:val="single" w:sz="4" w:space="0" w:color="auto"/>
            </w:tcBorders>
          </w:tcPr>
          <w:p w:rsidR="004C2A7E" w:rsidRPr="001714C3" w:rsidRDefault="004C2A7E" w:rsidP="00BD5C78">
            <w:pPr>
              <w:widowControl w:val="0"/>
              <w:suppressAutoHyphens/>
              <w:jc w:val="center"/>
              <w:rPr>
                <w:rFonts w:ascii="Times New Roman" w:eastAsia="Arial Unicode MS" w:hAnsi="Times New Roman" w:cs="Tahoma"/>
                <w:sz w:val="20"/>
                <w:szCs w:val="20"/>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5F5DD4">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bidi="en-US"/>
              </w:rPr>
              <w:t>6.6.2</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двум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Дневная зона (пиковая и полупиковая)</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20,538</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B74B2B">
        <w:tc>
          <w:tcPr>
            <w:tcW w:w="704" w:type="dxa"/>
            <w:vMerge w:val="restart"/>
          </w:tcPr>
          <w:p w:rsidR="004C2A7E" w:rsidRPr="001714C3" w:rsidRDefault="004C2A7E" w:rsidP="00BD5C78">
            <w:pPr>
              <w:widowControl w:val="0"/>
              <w:suppressAutoHyphens/>
              <w:rPr>
                <w:rFonts w:ascii="Times New Roman" w:eastAsia="Arial Unicode MS" w:hAnsi="Times New Roman"/>
                <w:sz w:val="20"/>
                <w:szCs w:val="20"/>
                <w:lang w:val="en-US" w:bidi="en-US"/>
              </w:rPr>
            </w:pPr>
            <w:r w:rsidRPr="001714C3">
              <w:rPr>
                <w:rFonts w:ascii="Times New Roman" w:eastAsia="Arial Unicode MS" w:hAnsi="Times New Roman"/>
                <w:sz w:val="20"/>
                <w:szCs w:val="20"/>
                <w:lang w:bidi="en-US"/>
              </w:rPr>
              <w:t>6.6.3</w:t>
            </w:r>
          </w:p>
        </w:tc>
        <w:tc>
          <w:tcPr>
            <w:tcW w:w="8789" w:type="dxa"/>
            <w:gridSpan w:val="3"/>
            <w:tcBorders>
              <w:right w:val="single" w:sz="4" w:space="0" w:color="auto"/>
            </w:tcBorders>
          </w:tcPr>
          <w:p w:rsidR="004C2A7E" w:rsidRPr="001714C3" w:rsidRDefault="004C2A7E" w:rsidP="00BD5C78">
            <w:pPr>
              <w:widowControl w:val="0"/>
              <w:suppressAutoHyphens/>
              <w:jc w:val="both"/>
              <w:rPr>
                <w:rFonts w:ascii="Times New Roman" w:eastAsia="Arial Unicode MS" w:hAnsi="Times New Roman" w:cs="Tahoma"/>
                <w:sz w:val="20"/>
                <w:lang w:bidi="en-US"/>
              </w:rPr>
            </w:pPr>
            <w:proofErr w:type="spellStart"/>
            <w:r w:rsidRPr="001714C3">
              <w:rPr>
                <w:rFonts w:ascii="Times New Roman" w:eastAsia="Arial Unicode MS" w:hAnsi="Times New Roman" w:cs="Tahoma"/>
                <w:sz w:val="20"/>
                <w:szCs w:val="20"/>
                <w:lang w:bidi="en-US"/>
              </w:rPr>
              <w:t>Одноставочный</w:t>
            </w:r>
            <w:proofErr w:type="spellEnd"/>
            <w:r w:rsidRPr="001714C3">
              <w:rPr>
                <w:rFonts w:ascii="Times New Roman" w:eastAsia="Arial Unicode MS" w:hAnsi="Times New Roman" w:cs="Tahoma"/>
                <w:sz w:val="20"/>
                <w:szCs w:val="20"/>
                <w:lang w:bidi="en-US"/>
              </w:rPr>
              <w:t xml:space="preserve"> тариф, дифференцированный по трем зонам суток</w:t>
            </w: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22,324</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1714C3"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Полупиковая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17,859</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r w:rsidR="004C2A7E" w:rsidRPr="005A02CA" w:rsidTr="004C2A7E">
        <w:tc>
          <w:tcPr>
            <w:tcW w:w="704" w:type="dxa"/>
            <w:vMerge/>
          </w:tcPr>
          <w:p w:rsidR="004C2A7E" w:rsidRPr="001714C3" w:rsidRDefault="004C2A7E" w:rsidP="00BD5C78">
            <w:pPr>
              <w:widowControl w:val="0"/>
              <w:suppressAutoHyphens/>
              <w:rPr>
                <w:rFonts w:ascii="Times New Roman" w:eastAsia="Arial Unicode MS" w:hAnsi="Times New Roman"/>
                <w:sz w:val="20"/>
                <w:szCs w:val="20"/>
                <w:lang w:bidi="en-US"/>
              </w:rPr>
            </w:pPr>
          </w:p>
        </w:tc>
        <w:tc>
          <w:tcPr>
            <w:tcW w:w="4394" w:type="dxa"/>
          </w:tcPr>
          <w:p w:rsidR="004C2A7E" w:rsidRPr="001714C3" w:rsidRDefault="004C2A7E" w:rsidP="00BD5C78">
            <w:pPr>
              <w:widowControl w:val="0"/>
              <w:suppressAutoHyphens/>
              <w:ind w:firstLine="286"/>
              <w:jc w:val="both"/>
              <w:rPr>
                <w:rFonts w:ascii="Times New Roman" w:eastAsia="Arial Unicode MS" w:hAnsi="Times New Roman" w:cs="Tahoma"/>
                <w:sz w:val="20"/>
                <w:szCs w:val="20"/>
                <w:lang w:bidi="en-US"/>
              </w:rPr>
            </w:pPr>
            <w:r w:rsidRPr="001714C3">
              <w:rPr>
                <w:rFonts w:ascii="Times New Roman" w:eastAsia="Arial Unicode MS" w:hAnsi="Times New Roman" w:cs="Tahoma"/>
                <w:sz w:val="20"/>
                <w:szCs w:val="20"/>
                <w:lang w:bidi="en-US"/>
              </w:rPr>
              <w:t>Ночная зона</w:t>
            </w:r>
          </w:p>
        </w:tc>
        <w:tc>
          <w:tcPr>
            <w:tcW w:w="2268"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szCs w:val="20"/>
                <w:highlight w:val="yellow"/>
                <w:lang w:bidi="en-US"/>
              </w:rPr>
            </w:pPr>
            <w:r w:rsidRPr="0047574F">
              <w:rPr>
                <w:rFonts w:ascii="Times New Roman" w:eastAsia="Arial Unicode MS" w:hAnsi="Times New Roman" w:cs="Tahoma"/>
                <w:sz w:val="20"/>
                <w:szCs w:val="20"/>
                <w:highlight w:val="yellow"/>
                <w:lang w:bidi="en-US"/>
              </w:rPr>
              <w:t>12,501</w:t>
            </w:r>
          </w:p>
        </w:tc>
        <w:tc>
          <w:tcPr>
            <w:tcW w:w="2127" w:type="dxa"/>
            <w:tcBorders>
              <w:right w:val="single" w:sz="4" w:space="0" w:color="auto"/>
            </w:tcBorders>
          </w:tcPr>
          <w:p w:rsidR="004C2A7E" w:rsidRPr="0047574F" w:rsidRDefault="004C2A7E" w:rsidP="00BD5C78">
            <w:pPr>
              <w:widowControl w:val="0"/>
              <w:suppressAutoHyphens/>
              <w:jc w:val="center"/>
              <w:rPr>
                <w:rFonts w:ascii="Times New Roman" w:eastAsia="Arial Unicode MS" w:hAnsi="Times New Roman" w:cs="Tahoma"/>
                <w:sz w:val="20"/>
                <w:highlight w:val="yellow"/>
                <w:lang w:bidi="en-US"/>
              </w:rPr>
            </w:pPr>
          </w:p>
        </w:tc>
      </w:tr>
    </w:tbl>
    <w:p w:rsidR="005821B6" w:rsidRPr="005821B6" w:rsidRDefault="005821B6" w:rsidP="005821B6">
      <w:pPr>
        <w:ind w:right="-142" w:firstLine="567"/>
        <w:jc w:val="both"/>
        <w:rPr>
          <w:rFonts w:ascii="Times New Roman" w:hAnsi="Times New Roman"/>
          <w:bCs/>
          <w:color w:val="000000" w:themeColor="text1"/>
          <w:sz w:val="18"/>
          <w:szCs w:val="18"/>
        </w:rPr>
      </w:pPr>
      <w:r w:rsidRPr="005821B6">
        <w:rPr>
          <w:rFonts w:ascii="Times New Roman" w:hAnsi="Times New Roman"/>
          <w:color w:val="000000" w:themeColor="text1"/>
          <w:sz w:val="18"/>
          <w:szCs w:val="18"/>
        </w:rPr>
        <w:t>Примечание:</w:t>
      </w:r>
      <w:r w:rsidRPr="005821B6">
        <w:rPr>
          <w:rFonts w:ascii="Times New Roman" w:hAnsi="Times New Roman"/>
          <w:bCs/>
          <w:color w:val="000000" w:themeColor="text1"/>
          <w:sz w:val="18"/>
          <w:szCs w:val="18"/>
          <w:lang w:val="x-none"/>
        </w:rPr>
        <w:t xml:space="preserve"> </w:t>
      </w:r>
    </w:p>
    <w:p w:rsidR="005821B6" w:rsidRPr="005821B6" w:rsidRDefault="005821B6" w:rsidP="005821B6">
      <w:pPr>
        <w:ind w:right="-142" w:firstLine="567"/>
        <w:jc w:val="both"/>
        <w:rPr>
          <w:rFonts w:ascii="Times New Roman" w:hAnsi="Times New Roman"/>
          <w:color w:val="000000" w:themeColor="text1"/>
          <w:sz w:val="18"/>
          <w:szCs w:val="18"/>
        </w:rPr>
      </w:pPr>
      <w:r w:rsidRPr="005821B6">
        <w:rPr>
          <w:rFonts w:ascii="Times New Roman" w:hAnsi="Times New Roman"/>
          <w:color w:val="000000" w:themeColor="text1"/>
          <w:sz w:val="18"/>
          <w:szCs w:val="18"/>
        </w:rPr>
        <w:t>Перечень категорий потребителей, в отношении которых могут быть применены льготные тарифы, определен пунктом 4 статьи 14 Закона Камчатского края от 26.11.2021 № 5 «О краевом бюджете на 2022 год и на плановый период 2023 и 2024 годов».</w:t>
      </w:r>
    </w:p>
    <w:p w:rsidR="005821B6" w:rsidRPr="005821B6" w:rsidRDefault="005821B6" w:rsidP="005821B6">
      <w:pPr>
        <w:ind w:right="-142" w:firstLine="567"/>
        <w:jc w:val="both"/>
        <w:rPr>
          <w:rFonts w:ascii="Times New Roman" w:hAnsi="Times New Roman"/>
          <w:sz w:val="18"/>
          <w:szCs w:val="18"/>
        </w:rPr>
      </w:pPr>
      <w:r w:rsidRPr="005821B6">
        <w:rPr>
          <w:rFonts w:ascii="Times New Roman" w:hAnsi="Times New Roman"/>
          <w:sz w:val="18"/>
          <w:szCs w:val="18"/>
        </w:rPr>
        <w:t>&lt;1&gt; Интервалы тарифных зон суток (по месяцам календарного года) утверждаются Федеральной антимонопольной службой</w:t>
      </w:r>
    </w:p>
    <w:p w:rsidR="005821B6" w:rsidRPr="005821B6" w:rsidRDefault="005821B6" w:rsidP="005821B6">
      <w:pPr>
        <w:ind w:right="-142" w:firstLine="567"/>
        <w:jc w:val="both"/>
        <w:rPr>
          <w:rFonts w:ascii="Times New Roman" w:hAnsi="Times New Roman"/>
          <w:sz w:val="18"/>
          <w:szCs w:val="18"/>
        </w:rPr>
      </w:pPr>
      <w:r w:rsidRPr="005821B6">
        <w:rPr>
          <w:rFonts w:ascii="Times New Roman" w:hAnsi="Times New Roman"/>
          <w:sz w:val="18"/>
          <w:szCs w:val="18"/>
        </w:rPr>
        <w:t xml:space="preserve">&lt;2&gt; Тарифы в пунктах 2,3,4,5,6 указаны с учетом применения понижающего коэффициента 0,7 </w:t>
      </w:r>
    </w:p>
    <w:p w:rsidR="005821B6" w:rsidRPr="005821B6" w:rsidRDefault="005821B6" w:rsidP="005821B6">
      <w:pPr>
        <w:ind w:right="-142" w:firstLine="567"/>
        <w:jc w:val="both"/>
        <w:rPr>
          <w:rFonts w:ascii="Times New Roman" w:hAnsi="Times New Roman"/>
          <w:sz w:val="18"/>
          <w:szCs w:val="18"/>
        </w:rPr>
      </w:pPr>
      <w:r w:rsidRPr="005821B6">
        <w:rPr>
          <w:rFonts w:ascii="Times New Roman" w:hAnsi="Times New Roman"/>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5821B6" w:rsidRPr="005821B6" w:rsidRDefault="005821B6" w:rsidP="005821B6">
      <w:pPr>
        <w:ind w:right="-142" w:firstLine="567"/>
        <w:jc w:val="both"/>
        <w:rPr>
          <w:rFonts w:ascii="Times New Roman" w:hAnsi="Times New Roman"/>
          <w:sz w:val="18"/>
          <w:szCs w:val="18"/>
        </w:rPr>
      </w:pPr>
      <w:r w:rsidRPr="005821B6">
        <w:rPr>
          <w:rFonts w:ascii="Times New Roman" w:hAnsi="Times New Roman"/>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5821B6" w:rsidRDefault="005821B6" w:rsidP="005821B6">
      <w:pPr>
        <w:ind w:right="-142" w:firstLine="567"/>
        <w:jc w:val="both"/>
        <w:rPr>
          <w:sz w:val="18"/>
          <w:szCs w:val="18"/>
        </w:rPr>
      </w:pPr>
    </w:p>
    <w:p w:rsidR="005821B6" w:rsidRPr="0047574F" w:rsidRDefault="008E504F" w:rsidP="005821B6">
      <w:pPr>
        <w:widowControl w:val="0"/>
        <w:ind w:left="5670"/>
        <w:jc w:val="right"/>
        <w:rPr>
          <w:rFonts w:ascii="Times New Roman" w:hAnsi="Times New Roman"/>
          <w:sz w:val="28"/>
          <w:szCs w:val="28"/>
          <w:vertAlign w:val="superscript"/>
        </w:rPr>
      </w:pPr>
      <w:r>
        <w:rPr>
          <w:rFonts w:ascii="Times New Roman" w:hAnsi="Times New Roman"/>
          <w:sz w:val="28"/>
          <w:szCs w:val="28"/>
        </w:rPr>
        <w:t>Таблица 1 Приложения 7</w:t>
      </w:r>
    </w:p>
    <w:p w:rsidR="005821B6" w:rsidRPr="005821B6" w:rsidRDefault="005821B6" w:rsidP="005821B6">
      <w:pPr>
        <w:autoSpaceDE w:val="0"/>
        <w:autoSpaceDN w:val="0"/>
        <w:adjustRightInd w:val="0"/>
        <w:jc w:val="both"/>
        <w:rPr>
          <w:rFonts w:ascii="Times New Roman" w:eastAsia="Calibri" w:hAnsi="Times New Roman"/>
          <w:szCs w:val="28"/>
        </w:rPr>
      </w:pPr>
    </w:p>
    <w:p w:rsidR="005821B6" w:rsidRPr="0047574F" w:rsidRDefault="005821B6" w:rsidP="005821B6">
      <w:pPr>
        <w:widowControl w:val="0"/>
        <w:suppressAutoHyphens/>
        <w:ind w:left="360"/>
        <w:jc w:val="center"/>
        <w:rPr>
          <w:rFonts w:ascii="Times New Roman" w:eastAsia="Calibri" w:hAnsi="Times New Roman"/>
          <w:sz w:val="28"/>
          <w:szCs w:val="28"/>
        </w:rPr>
      </w:pPr>
      <w:r w:rsidRPr="0047574F">
        <w:rPr>
          <w:rFonts w:ascii="Times New Roman" w:eastAsia="Arial Unicode MS" w:hAnsi="Times New Roman"/>
          <w:sz w:val="28"/>
          <w:szCs w:val="28"/>
          <w:lang w:eastAsia="en-US" w:bidi="en-US"/>
        </w:rPr>
        <w:t>Балансовые показатели планового объема полезного отпуска электрической энергии</w:t>
      </w:r>
      <w:r w:rsidRPr="0047574F">
        <w:rPr>
          <w:rFonts w:ascii="Times New Roman" w:eastAsia="Calibri" w:hAnsi="Times New Roman"/>
          <w:sz w:val="28"/>
          <w:szCs w:val="28"/>
        </w:rPr>
        <w:t xml:space="preserve"> </w:t>
      </w:r>
      <w:r w:rsidRPr="0047574F">
        <w:rPr>
          <w:rFonts w:ascii="Times New Roman" w:hAnsi="Times New Roman"/>
          <w:bCs/>
          <w:sz w:val="28"/>
          <w:szCs w:val="28"/>
        </w:rPr>
        <w:t xml:space="preserve">Акционерного общества «Камчатские электрические сети </w:t>
      </w:r>
      <w:r w:rsidRPr="0047574F">
        <w:rPr>
          <w:rFonts w:ascii="Times New Roman" w:hAnsi="Times New Roman"/>
          <w:bCs/>
          <w:sz w:val="28"/>
          <w:szCs w:val="28"/>
        </w:rPr>
        <w:br/>
        <w:t>им. И.А. Пискунова»</w:t>
      </w:r>
      <w:r w:rsidRPr="0047574F">
        <w:rPr>
          <w:rFonts w:ascii="Times New Roman" w:eastAsia="Arial Unicode MS" w:hAnsi="Times New Roman"/>
          <w:sz w:val="28"/>
          <w:szCs w:val="28"/>
          <w:lang w:eastAsia="en-US" w:bidi="en-US"/>
        </w:rPr>
        <w:t>, 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5821B6" w:rsidRPr="001558F8" w:rsidRDefault="005821B6" w:rsidP="005821B6">
      <w:pPr>
        <w:autoSpaceDE w:val="0"/>
        <w:autoSpaceDN w:val="0"/>
        <w:adjustRightInd w:val="0"/>
        <w:jc w:val="both"/>
        <w:rPr>
          <w:rFonts w:eastAsia="Calibri"/>
          <w:szCs w:val="22"/>
        </w:rPr>
      </w:pPr>
    </w:p>
    <w:tbl>
      <w:tblPr>
        <w:tblStyle w:val="43"/>
        <w:tblW w:w="9776" w:type="dxa"/>
        <w:tblLayout w:type="fixed"/>
        <w:tblLook w:val="04A0" w:firstRow="1" w:lastRow="0" w:firstColumn="1" w:lastColumn="0" w:noHBand="0" w:noVBand="1"/>
      </w:tblPr>
      <w:tblGrid>
        <w:gridCol w:w="704"/>
        <w:gridCol w:w="4820"/>
        <w:gridCol w:w="2126"/>
        <w:gridCol w:w="2126"/>
      </w:tblGrid>
      <w:tr w:rsidR="004C2A7E" w:rsidRPr="0022594B" w:rsidTr="00BC03D5">
        <w:tc>
          <w:tcPr>
            <w:tcW w:w="704" w:type="dxa"/>
            <w:vMerge w:val="restart"/>
            <w:vAlign w:val="center"/>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п/п</w:t>
            </w:r>
          </w:p>
        </w:tc>
        <w:tc>
          <w:tcPr>
            <w:tcW w:w="4820" w:type="dxa"/>
            <w:vMerge w:val="restart"/>
            <w:vAlign w:val="center"/>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Категории потребителей</w:t>
            </w:r>
          </w:p>
        </w:tc>
        <w:tc>
          <w:tcPr>
            <w:tcW w:w="4252" w:type="dxa"/>
            <w:gridSpan w:val="2"/>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lang w:bidi="en-US"/>
              </w:rPr>
            </w:pPr>
            <w:r w:rsidRPr="0022594B">
              <w:rPr>
                <w:rFonts w:ascii="Times New Roman" w:eastAsia="Arial Unicode MS" w:hAnsi="Times New Roman" w:cs="Tahoma"/>
                <w:sz w:val="20"/>
                <w:szCs w:val="20"/>
                <w:lang w:bidi="en-US"/>
              </w:rPr>
              <w:t>Плановый объем полезного отпуска электрической энергии, млн. кВт · ч</w:t>
            </w:r>
          </w:p>
        </w:tc>
      </w:tr>
      <w:tr w:rsidR="004C2A7E" w:rsidRPr="005A02CA" w:rsidTr="004C2A7E">
        <w:tc>
          <w:tcPr>
            <w:tcW w:w="704" w:type="dxa"/>
            <w:vMerge/>
          </w:tcPr>
          <w:p w:rsidR="004C2A7E" w:rsidRPr="0022594B" w:rsidRDefault="004C2A7E" w:rsidP="004C2A7E">
            <w:pPr>
              <w:widowControl w:val="0"/>
              <w:suppressAutoHyphens/>
              <w:jc w:val="center"/>
              <w:rPr>
                <w:rFonts w:ascii="Times New Roman" w:eastAsia="Arial Unicode MS" w:hAnsi="Times New Roman" w:cs="Tahoma"/>
                <w:sz w:val="20"/>
                <w:szCs w:val="20"/>
                <w:lang w:bidi="en-US"/>
              </w:rPr>
            </w:pPr>
          </w:p>
        </w:tc>
        <w:tc>
          <w:tcPr>
            <w:tcW w:w="4820" w:type="dxa"/>
            <w:vMerge/>
          </w:tcPr>
          <w:p w:rsidR="004C2A7E" w:rsidRPr="0022594B" w:rsidRDefault="004C2A7E" w:rsidP="004C2A7E">
            <w:pPr>
              <w:widowControl w:val="0"/>
              <w:suppressAutoHyphens/>
              <w:jc w:val="center"/>
              <w:rPr>
                <w:rFonts w:ascii="Times New Roman" w:eastAsia="Arial Unicode MS" w:hAnsi="Times New Roman" w:cs="Tahoma"/>
                <w:sz w:val="20"/>
                <w:szCs w:val="20"/>
                <w:lang w:bidi="en-US"/>
              </w:rPr>
            </w:pPr>
          </w:p>
        </w:tc>
        <w:tc>
          <w:tcPr>
            <w:tcW w:w="2126" w:type="dxa"/>
            <w:tcBorders>
              <w:right w:val="single" w:sz="4" w:space="0" w:color="auto"/>
            </w:tcBorders>
          </w:tcPr>
          <w:p w:rsidR="004C2A7E" w:rsidRPr="00E31C59" w:rsidRDefault="004C2A7E" w:rsidP="004C2A7E">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4C2A7E" w:rsidRPr="00E31C59" w:rsidRDefault="004C2A7E" w:rsidP="004C2A7E">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126" w:type="dxa"/>
            <w:tcBorders>
              <w:right w:val="single" w:sz="4" w:space="0" w:color="auto"/>
            </w:tcBorders>
          </w:tcPr>
          <w:p w:rsidR="004C2A7E" w:rsidRPr="00E31C59" w:rsidRDefault="004C2A7E" w:rsidP="004C2A7E">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4C2A7E" w:rsidRPr="00E31C59" w:rsidRDefault="004C2A7E" w:rsidP="004C2A7E">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1</w:t>
            </w:r>
          </w:p>
        </w:tc>
        <w:tc>
          <w:tcPr>
            <w:tcW w:w="4820" w:type="dxa"/>
          </w:tcPr>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и приравненные к нему, за исключением населения и потребителей, указанных в строках 2 - 5:</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w:t>
            </w:r>
            <w:r w:rsidRPr="0022594B">
              <w:rPr>
                <w:rFonts w:ascii="Times New Roman" w:eastAsia="Arial Unicode MS" w:hAnsi="Times New Roman" w:cs="Tahoma"/>
                <w:sz w:val="20"/>
                <w:szCs w:val="20"/>
                <w:lang w:bidi="en-US"/>
              </w:rPr>
              <w:lastRenderedPageBreak/>
              <w:t xml:space="preserve">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lastRenderedPageBreak/>
              <w:t>-</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lang w:val="en-US" w:bidi="en-US"/>
              </w:rPr>
            </w:pPr>
            <w:r>
              <w:rPr>
                <w:rFonts w:ascii="Times New Roman" w:eastAsia="Arial Unicode MS" w:hAnsi="Times New Roman" w:cs="Tahoma"/>
                <w:sz w:val="20"/>
                <w:lang w:val="en-US"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2</w:t>
            </w:r>
          </w:p>
        </w:tc>
        <w:tc>
          <w:tcPr>
            <w:tcW w:w="4820" w:type="dxa"/>
          </w:tcPr>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юридические и физические лица, приобретающие электрическую энергию (мощность) в целях </w:t>
            </w:r>
            <w:r w:rsidRPr="0022594B">
              <w:rPr>
                <w:rFonts w:ascii="Times New Roman" w:eastAsia="Arial Unicode MS" w:hAnsi="Times New Roman" w:cs="Tahoma"/>
                <w:sz w:val="20"/>
                <w:szCs w:val="20"/>
                <w:lang w:bidi="en-US"/>
              </w:rPr>
              <w:lastRenderedPageBreak/>
              <w:t>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szCs w:val="20"/>
                <w:lang w:val="en-US" w:bidi="en-US"/>
              </w:rPr>
            </w:pPr>
            <w:r>
              <w:rPr>
                <w:rFonts w:ascii="Times New Roman" w:eastAsia="Arial Unicode MS" w:hAnsi="Times New Roman" w:cs="Tahoma"/>
                <w:sz w:val="20"/>
                <w:szCs w:val="20"/>
                <w:lang w:val="en-US" w:bidi="en-US"/>
              </w:rPr>
              <w:lastRenderedPageBreak/>
              <w:t>-</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lang w:val="en-US" w:bidi="en-US"/>
              </w:rPr>
            </w:pPr>
            <w:r>
              <w:rPr>
                <w:rFonts w:ascii="Times New Roman" w:eastAsia="Arial Unicode MS" w:hAnsi="Times New Roman" w:cs="Tahoma"/>
                <w:sz w:val="20"/>
                <w:lang w:val="en-US"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3</w:t>
            </w:r>
          </w:p>
        </w:tc>
        <w:tc>
          <w:tcPr>
            <w:tcW w:w="4820" w:type="dxa"/>
          </w:tcPr>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lang w:val="en-US" w:bidi="en-US"/>
              </w:rPr>
            </w:pPr>
            <w:r>
              <w:rPr>
                <w:rFonts w:ascii="Times New Roman" w:eastAsia="Arial Unicode MS" w:hAnsi="Times New Roman" w:cs="Tahoma"/>
                <w:sz w:val="20"/>
                <w:lang w:val="en-US"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4</w:t>
            </w:r>
          </w:p>
        </w:tc>
        <w:tc>
          <w:tcPr>
            <w:tcW w:w="4820" w:type="dxa"/>
          </w:tcPr>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w:t>
            </w:r>
            <w:r w:rsidRPr="0022594B">
              <w:rPr>
                <w:rFonts w:ascii="Times New Roman" w:eastAsia="Arial Unicode MS" w:hAnsi="Times New Roman" w:cs="Tahoma"/>
                <w:sz w:val="20"/>
                <w:szCs w:val="20"/>
                <w:lang w:bidi="en-US"/>
              </w:rPr>
              <w:lastRenderedPageBreak/>
              <w:t>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szCs w:val="20"/>
                <w:lang w:val="en-US" w:bidi="en-US"/>
              </w:rPr>
            </w:pPr>
            <w:r>
              <w:rPr>
                <w:rFonts w:ascii="Times New Roman" w:eastAsia="Arial Unicode MS" w:hAnsi="Times New Roman" w:cs="Tahoma"/>
                <w:sz w:val="20"/>
                <w:szCs w:val="20"/>
                <w:lang w:val="en-US" w:bidi="en-US"/>
              </w:rPr>
              <w:lastRenderedPageBreak/>
              <w:t>-</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lang w:val="en-US" w:bidi="en-US"/>
              </w:rPr>
            </w:pPr>
            <w:r>
              <w:rPr>
                <w:rFonts w:ascii="Times New Roman" w:eastAsia="Arial Unicode MS" w:hAnsi="Times New Roman" w:cs="Tahoma"/>
                <w:sz w:val="20"/>
                <w:lang w:val="en-US"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val="en-US" w:bidi="en-US"/>
              </w:rPr>
            </w:pPr>
            <w:r w:rsidRPr="0022594B">
              <w:rPr>
                <w:rFonts w:ascii="Times New Roman" w:eastAsia="Arial Unicode MS" w:hAnsi="Times New Roman" w:cs="Tahoma"/>
                <w:sz w:val="20"/>
                <w:szCs w:val="20"/>
                <w:lang w:val="en-US" w:bidi="en-US"/>
              </w:rPr>
              <w:t>5</w:t>
            </w:r>
          </w:p>
        </w:tc>
        <w:tc>
          <w:tcPr>
            <w:tcW w:w="4820" w:type="dxa"/>
          </w:tcPr>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сельских населенных пунктах и приравненные к нему:</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szCs w:val="20"/>
                <w:lang w:val="en-US" w:bidi="en-US"/>
              </w:rPr>
            </w:pPr>
            <w:r>
              <w:rPr>
                <w:rFonts w:ascii="Times New Roman" w:eastAsia="Arial Unicode MS" w:hAnsi="Times New Roman" w:cs="Tahoma"/>
                <w:sz w:val="20"/>
                <w:szCs w:val="20"/>
                <w:lang w:val="en-US" w:bidi="en-US"/>
              </w:rPr>
              <w:t>0,990</w:t>
            </w:r>
          </w:p>
        </w:tc>
        <w:tc>
          <w:tcPr>
            <w:tcW w:w="2126" w:type="dxa"/>
            <w:tcBorders>
              <w:right w:val="single" w:sz="4" w:space="0" w:color="auto"/>
            </w:tcBorders>
          </w:tcPr>
          <w:p w:rsidR="004C2A7E" w:rsidRPr="004C2A7E" w:rsidRDefault="004C2A7E" w:rsidP="00BD5C78">
            <w:pPr>
              <w:widowControl w:val="0"/>
              <w:suppressAutoHyphens/>
              <w:jc w:val="center"/>
              <w:rPr>
                <w:rFonts w:ascii="Times New Roman" w:eastAsia="Arial Unicode MS" w:hAnsi="Times New Roman" w:cs="Tahoma"/>
                <w:sz w:val="20"/>
                <w:highlight w:val="yellow"/>
                <w:lang w:bidi="en-US"/>
              </w:rPr>
            </w:pPr>
            <w:r w:rsidRPr="004C2A7E">
              <w:rPr>
                <w:rFonts w:ascii="Times New Roman" w:eastAsia="Arial Unicode MS" w:hAnsi="Times New Roman" w:cs="Tahoma"/>
                <w:sz w:val="20"/>
                <w:szCs w:val="20"/>
                <w:lang w:val="en-US" w:bidi="en-US"/>
              </w:rPr>
              <w:t>1,210</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p>
        </w:tc>
        <w:tc>
          <w:tcPr>
            <w:tcW w:w="4820" w:type="dxa"/>
          </w:tcPr>
          <w:p w:rsidR="004C2A7E" w:rsidRPr="0022594B" w:rsidRDefault="004C2A7E" w:rsidP="00BD5C78">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Потребители, приравненные к населению:</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6.1</w:t>
            </w:r>
          </w:p>
        </w:tc>
        <w:tc>
          <w:tcPr>
            <w:tcW w:w="4820" w:type="dxa"/>
          </w:tcPr>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w:t>
            </w:r>
            <w:r w:rsidRPr="0022594B">
              <w:rPr>
                <w:rFonts w:ascii="Times New Roman" w:eastAsia="Arial Unicode MS" w:hAnsi="Times New Roman" w:cs="Tahoma"/>
                <w:sz w:val="20"/>
                <w:szCs w:val="20"/>
                <w:lang w:bidi="en-US"/>
              </w:rPr>
              <w:lastRenderedPageBreak/>
              <w:t>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4C2A7E" w:rsidRPr="0022594B" w:rsidRDefault="004C2A7E"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4C2A7E" w:rsidRPr="0022594B" w:rsidRDefault="004C2A7E" w:rsidP="00BD5C78">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   </w:t>
            </w:r>
            <w:proofErr w:type="spellStart"/>
            <w:r w:rsidRPr="0022594B">
              <w:rPr>
                <w:rFonts w:ascii="Times New Roman" w:eastAsia="Arial Unicode MS" w:hAnsi="Times New Roman" w:cs="Tahoma"/>
                <w:sz w:val="20"/>
                <w:szCs w:val="20"/>
                <w:lang w:bidi="en-US"/>
              </w:rPr>
              <w:t>наймодателей</w:t>
            </w:r>
            <w:proofErr w:type="spellEnd"/>
            <w:r w:rsidRPr="0022594B">
              <w:rPr>
                <w:rFonts w:ascii="Times New Roman" w:eastAsia="Arial Unicode MS" w:hAnsi="Times New Roman"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lastRenderedPageBreak/>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.2</w:t>
            </w:r>
          </w:p>
        </w:tc>
        <w:tc>
          <w:tcPr>
            <w:tcW w:w="4820" w:type="dxa"/>
          </w:tcPr>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Садоводческие некоммерческие товарищества и огороднические некоммерческие товарищества.</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.3</w:t>
            </w:r>
          </w:p>
        </w:tc>
        <w:tc>
          <w:tcPr>
            <w:tcW w:w="4820" w:type="dxa"/>
          </w:tcPr>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.4</w:t>
            </w:r>
          </w:p>
        </w:tc>
        <w:tc>
          <w:tcPr>
            <w:tcW w:w="4820" w:type="dxa"/>
          </w:tcPr>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Содержащиеся за счет прихожан религиозные организации.</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6.5</w:t>
            </w:r>
          </w:p>
        </w:tc>
        <w:tc>
          <w:tcPr>
            <w:tcW w:w="4820" w:type="dxa"/>
          </w:tcPr>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Гарантирующие поставщики, </w:t>
            </w:r>
            <w:proofErr w:type="spellStart"/>
            <w:r w:rsidRPr="0022594B">
              <w:rPr>
                <w:rFonts w:ascii="Times New Roman" w:eastAsia="Arial Unicode MS" w:hAnsi="Times New Roman" w:cs="Tahoma"/>
                <w:sz w:val="20"/>
                <w:szCs w:val="20"/>
                <w:lang w:bidi="en-US"/>
              </w:rPr>
              <w:t>энергосбытовые</w:t>
            </w:r>
            <w:proofErr w:type="spellEnd"/>
            <w:r w:rsidRPr="0022594B">
              <w:rPr>
                <w:rFonts w:ascii="Times New Roman" w:eastAsia="Arial Unicode MS" w:hAnsi="Times New Roman" w:cs="Tahoma"/>
                <w:sz w:val="20"/>
                <w:szCs w:val="20"/>
                <w:lang w:bidi="en-US"/>
              </w:rPr>
              <w:t xml:space="preserve">, </w:t>
            </w:r>
            <w:proofErr w:type="spellStart"/>
            <w:r w:rsidRPr="0022594B">
              <w:rPr>
                <w:rFonts w:ascii="Times New Roman" w:eastAsia="Arial Unicode MS" w:hAnsi="Times New Roman" w:cs="Tahoma"/>
                <w:sz w:val="20"/>
                <w:szCs w:val="20"/>
                <w:lang w:bidi="en-US"/>
              </w:rPr>
              <w:t>энергоснабжающие</w:t>
            </w:r>
            <w:proofErr w:type="spellEnd"/>
            <w:r w:rsidRPr="0022594B">
              <w:rPr>
                <w:rFonts w:ascii="Times New Roman" w:eastAsia="Arial Unicode MS" w:hAnsi="Times New Roman"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r w:rsidR="004C2A7E" w:rsidRPr="005A02CA" w:rsidTr="004C2A7E">
        <w:tc>
          <w:tcPr>
            <w:tcW w:w="704" w:type="dxa"/>
          </w:tcPr>
          <w:p w:rsidR="004C2A7E" w:rsidRPr="0022594B" w:rsidRDefault="004C2A7E"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.6</w:t>
            </w:r>
          </w:p>
        </w:tc>
        <w:tc>
          <w:tcPr>
            <w:tcW w:w="4820" w:type="dxa"/>
          </w:tcPr>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Объединения граждан, приобретающих </w:t>
            </w:r>
            <w:r w:rsidRPr="0022594B">
              <w:rPr>
                <w:rFonts w:ascii="Times New Roman" w:eastAsia="Arial Unicode MS" w:hAnsi="Times New Roman" w:cs="Tahoma"/>
                <w:sz w:val="20"/>
                <w:szCs w:val="20"/>
                <w:lang w:bidi="en-US"/>
              </w:rPr>
              <w:lastRenderedPageBreak/>
              <w:t>электрическую энергию (мощность) для использования в принадлежащих им хозяйственных постройках (погреба, сараи).</w:t>
            </w:r>
          </w:p>
          <w:p w:rsidR="004C2A7E" w:rsidRPr="0022594B" w:rsidRDefault="004C2A7E"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126" w:type="dxa"/>
            <w:tcBorders>
              <w:right w:val="single" w:sz="4" w:space="0" w:color="auto"/>
            </w:tcBorders>
          </w:tcPr>
          <w:p w:rsidR="004C2A7E" w:rsidRPr="0022594B" w:rsidRDefault="004C2A7E" w:rsidP="00BD5C78">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lastRenderedPageBreak/>
              <w:t>-</w:t>
            </w:r>
          </w:p>
        </w:tc>
        <w:tc>
          <w:tcPr>
            <w:tcW w:w="2126" w:type="dxa"/>
            <w:tcBorders>
              <w:right w:val="single" w:sz="4" w:space="0" w:color="auto"/>
            </w:tcBorders>
          </w:tcPr>
          <w:p w:rsidR="004C2A7E" w:rsidRDefault="004C2A7E"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w:t>
            </w:r>
          </w:p>
        </w:tc>
      </w:tr>
    </w:tbl>
    <w:p w:rsidR="005821B6" w:rsidRPr="001558F8" w:rsidRDefault="005821B6" w:rsidP="005821B6">
      <w:pPr>
        <w:ind w:left="33" w:firstLine="709"/>
        <w:jc w:val="right"/>
        <w:rPr>
          <w:szCs w:val="28"/>
        </w:rPr>
      </w:pPr>
    </w:p>
    <w:p w:rsidR="005821B6" w:rsidRPr="0047574F" w:rsidRDefault="008E504F" w:rsidP="005821B6">
      <w:pPr>
        <w:widowControl w:val="0"/>
        <w:suppressAutoHyphens/>
        <w:ind w:left="360"/>
        <w:jc w:val="right"/>
        <w:rPr>
          <w:rFonts w:ascii="Times New Roman" w:eastAsia="Arial Unicode MS" w:hAnsi="Times New Roman"/>
          <w:sz w:val="28"/>
          <w:szCs w:val="28"/>
          <w:vertAlign w:val="superscript"/>
          <w:lang w:eastAsia="en-US" w:bidi="en-US"/>
        </w:rPr>
      </w:pPr>
      <w:r>
        <w:rPr>
          <w:rFonts w:ascii="Times New Roman" w:eastAsia="Arial Unicode MS" w:hAnsi="Times New Roman"/>
          <w:sz w:val="28"/>
          <w:szCs w:val="28"/>
          <w:lang w:eastAsia="en-US" w:bidi="en-US"/>
        </w:rPr>
        <w:t>Таблица 2 Приложения 7</w:t>
      </w:r>
    </w:p>
    <w:p w:rsidR="005821B6" w:rsidRPr="0022594B" w:rsidRDefault="005821B6" w:rsidP="005821B6">
      <w:pPr>
        <w:widowControl w:val="0"/>
        <w:suppressAutoHyphens/>
        <w:ind w:left="360"/>
        <w:jc w:val="right"/>
        <w:rPr>
          <w:rFonts w:eastAsia="Arial Unicode MS" w:cs="Tahoma"/>
          <w:szCs w:val="28"/>
          <w:lang w:eastAsia="en-US" w:bidi="en-US"/>
        </w:rPr>
      </w:pPr>
    </w:p>
    <w:tbl>
      <w:tblPr>
        <w:tblStyle w:val="53"/>
        <w:tblW w:w="9918" w:type="dxa"/>
        <w:tblLayout w:type="fixed"/>
        <w:tblLook w:val="04A0" w:firstRow="1" w:lastRow="0" w:firstColumn="1" w:lastColumn="0" w:noHBand="0" w:noVBand="1"/>
      </w:tblPr>
      <w:tblGrid>
        <w:gridCol w:w="704"/>
        <w:gridCol w:w="5387"/>
        <w:gridCol w:w="1984"/>
        <w:gridCol w:w="1843"/>
      </w:tblGrid>
      <w:tr w:rsidR="00F72B80" w:rsidRPr="0022594B" w:rsidTr="00BC7C75">
        <w:tc>
          <w:tcPr>
            <w:tcW w:w="704" w:type="dxa"/>
            <w:vMerge w:val="restart"/>
            <w:vAlign w:val="center"/>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п/п</w:t>
            </w:r>
          </w:p>
        </w:tc>
        <w:tc>
          <w:tcPr>
            <w:tcW w:w="5387" w:type="dxa"/>
            <w:vMerge w:val="restart"/>
            <w:vAlign w:val="center"/>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Категории потребителей</w:t>
            </w:r>
          </w:p>
        </w:tc>
        <w:tc>
          <w:tcPr>
            <w:tcW w:w="3827" w:type="dxa"/>
            <w:gridSpan w:val="2"/>
            <w:tcBorders>
              <w:right w:val="single" w:sz="4" w:space="0" w:color="auto"/>
            </w:tcBorders>
          </w:tcPr>
          <w:p w:rsidR="00F72B80" w:rsidRPr="00AD7D7C" w:rsidRDefault="00F72B80" w:rsidP="00BD5C78">
            <w:pPr>
              <w:widowControl w:val="0"/>
              <w:suppressAutoHyphens/>
              <w:jc w:val="center"/>
              <w:rPr>
                <w:rFonts w:ascii="Times New Roman" w:eastAsia="Arial Unicode MS" w:hAnsi="Times New Roman" w:cs="Tahoma"/>
                <w:sz w:val="20"/>
                <w:highlight w:val="red"/>
                <w:lang w:bidi="en-US"/>
              </w:rPr>
            </w:pPr>
            <w:r w:rsidRPr="00F72B80">
              <w:rPr>
                <w:rFonts w:ascii="Times New Roman" w:eastAsia="Arial Unicode MS" w:hAnsi="Times New Roman" w:cs="Tahoma"/>
                <w:sz w:val="20"/>
                <w:szCs w:val="20"/>
                <w:lang w:bidi="en-US"/>
              </w:rPr>
              <w:t>Примененный понижающий коэффициент при установлении цен (тарифов) на электрическую энергию (мощность)</w:t>
            </w:r>
          </w:p>
        </w:tc>
      </w:tr>
      <w:tr w:rsidR="00F72B80" w:rsidRPr="005A02CA" w:rsidTr="00F72B80">
        <w:tc>
          <w:tcPr>
            <w:tcW w:w="704" w:type="dxa"/>
            <w:vMerge/>
          </w:tcPr>
          <w:p w:rsidR="00F72B80" w:rsidRPr="0022594B" w:rsidRDefault="00F72B80" w:rsidP="00F72B80">
            <w:pPr>
              <w:widowControl w:val="0"/>
              <w:suppressAutoHyphens/>
              <w:jc w:val="center"/>
              <w:rPr>
                <w:rFonts w:ascii="Times New Roman" w:eastAsia="Arial Unicode MS" w:hAnsi="Times New Roman" w:cs="Tahoma"/>
                <w:sz w:val="20"/>
                <w:szCs w:val="20"/>
                <w:lang w:bidi="en-US"/>
              </w:rPr>
            </w:pPr>
          </w:p>
        </w:tc>
        <w:tc>
          <w:tcPr>
            <w:tcW w:w="5387" w:type="dxa"/>
            <w:vMerge/>
          </w:tcPr>
          <w:p w:rsidR="00F72B80" w:rsidRPr="0022594B" w:rsidRDefault="00F72B80" w:rsidP="00F72B80">
            <w:pPr>
              <w:widowControl w:val="0"/>
              <w:suppressAutoHyphens/>
              <w:jc w:val="center"/>
              <w:rPr>
                <w:rFonts w:ascii="Times New Roman" w:eastAsia="Arial Unicode MS" w:hAnsi="Times New Roman" w:cs="Tahoma"/>
                <w:sz w:val="20"/>
                <w:szCs w:val="20"/>
                <w:lang w:bidi="en-US"/>
              </w:rPr>
            </w:pPr>
          </w:p>
        </w:tc>
        <w:tc>
          <w:tcPr>
            <w:tcW w:w="1984" w:type="dxa"/>
            <w:tcBorders>
              <w:right w:val="single" w:sz="4" w:space="0" w:color="auto"/>
            </w:tcBorders>
          </w:tcPr>
          <w:p w:rsidR="00F72B80" w:rsidRPr="00E31C59" w:rsidRDefault="00F72B80" w:rsidP="00F72B80">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2B80" w:rsidRPr="00E31C59" w:rsidRDefault="00F72B80" w:rsidP="00F72B80">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1843" w:type="dxa"/>
            <w:tcBorders>
              <w:right w:val="single" w:sz="4" w:space="0" w:color="auto"/>
            </w:tcBorders>
          </w:tcPr>
          <w:p w:rsidR="00F72B80" w:rsidRPr="00E31C59" w:rsidRDefault="00F72B80" w:rsidP="00F72B80">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2B80" w:rsidRPr="00E31C59" w:rsidRDefault="00F72B80" w:rsidP="00F72B80">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1</w:t>
            </w:r>
          </w:p>
        </w:tc>
        <w:tc>
          <w:tcPr>
            <w:tcW w:w="5387" w:type="dxa"/>
          </w:tcPr>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2</w:t>
            </w:r>
          </w:p>
        </w:tc>
        <w:tc>
          <w:tcPr>
            <w:tcW w:w="5387" w:type="dxa"/>
          </w:tcPr>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3</w:t>
            </w:r>
          </w:p>
        </w:tc>
        <w:tc>
          <w:tcPr>
            <w:tcW w:w="5387" w:type="dxa"/>
          </w:tcPr>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4</w:t>
            </w:r>
          </w:p>
        </w:tc>
        <w:tc>
          <w:tcPr>
            <w:tcW w:w="5387" w:type="dxa"/>
          </w:tcPr>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сельских населенных пунктах и приравненные к нему:</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w:t>
            </w:r>
          </w:p>
        </w:tc>
        <w:tc>
          <w:tcPr>
            <w:tcW w:w="5387" w:type="dxa"/>
          </w:tcPr>
          <w:p w:rsidR="00F72B80" w:rsidRPr="0022594B" w:rsidRDefault="00F72B80" w:rsidP="00BD5C78">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Потребители, приравненные к населению:</w:t>
            </w:r>
          </w:p>
        </w:tc>
        <w:tc>
          <w:tcPr>
            <w:tcW w:w="1984" w:type="dxa"/>
            <w:tcBorders>
              <w:right w:val="single" w:sz="4" w:space="0" w:color="auto"/>
            </w:tcBorders>
          </w:tcPr>
          <w:p w:rsidR="00F72B80" w:rsidRPr="0022594B" w:rsidRDefault="00F72B80" w:rsidP="00BD5C78">
            <w:pPr>
              <w:widowControl w:val="0"/>
              <w:suppressAutoHyphens/>
              <w:rPr>
                <w:rFonts w:ascii="Times New Roman" w:eastAsia="Arial Unicode MS" w:hAnsi="Times New Roman" w:cs="Tahoma"/>
                <w:sz w:val="20"/>
                <w:szCs w:val="20"/>
                <w:lang w:bidi="en-US"/>
              </w:rPr>
            </w:pPr>
          </w:p>
        </w:tc>
        <w:tc>
          <w:tcPr>
            <w:tcW w:w="1843" w:type="dxa"/>
            <w:tcBorders>
              <w:right w:val="single" w:sz="4" w:space="0" w:color="auto"/>
            </w:tcBorders>
          </w:tcPr>
          <w:p w:rsidR="00F72B80" w:rsidRPr="0022594B" w:rsidRDefault="00F72B80" w:rsidP="00BD5C78">
            <w:pPr>
              <w:widowControl w:val="0"/>
              <w:suppressAutoHyphens/>
              <w:rPr>
                <w:rFonts w:ascii="Times New Roman" w:eastAsia="Arial Unicode MS" w:hAnsi="Times New Roman" w:cs="Tahoma"/>
                <w:sz w:val="20"/>
                <w:lang w:bidi="en-US"/>
              </w:rPr>
            </w:pP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5.1</w:t>
            </w:r>
          </w:p>
        </w:tc>
        <w:tc>
          <w:tcPr>
            <w:tcW w:w="5387" w:type="dxa"/>
          </w:tcPr>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ascii="Times New Roman" w:eastAsia="Arial Unicode MS" w:hAnsi="Times New Roman" w:cs="Tahoma"/>
                <w:sz w:val="20"/>
                <w:szCs w:val="20"/>
                <w:lang w:bidi="en-US"/>
              </w:rPr>
              <w:t>наймодатели</w:t>
            </w:r>
            <w:proofErr w:type="spellEnd"/>
            <w:r w:rsidRPr="0022594B">
              <w:rPr>
                <w:rFonts w:ascii="Times New Roman" w:eastAsia="Arial Unicode MS" w:hAnsi="Times New Roman"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F72B80" w:rsidRPr="0022594B" w:rsidRDefault="00F72B80" w:rsidP="00BD5C78">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F72B80" w:rsidRPr="0022594B" w:rsidRDefault="00F72B80" w:rsidP="00BD5C78">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   </w:t>
            </w:r>
            <w:proofErr w:type="spellStart"/>
            <w:r w:rsidRPr="0022594B">
              <w:rPr>
                <w:rFonts w:ascii="Times New Roman" w:eastAsia="Arial Unicode MS" w:hAnsi="Times New Roman" w:cs="Tahoma"/>
                <w:sz w:val="20"/>
                <w:szCs w:val="20"/>
                <w:lang w:bidi="en-US"/>
              </w:rPr>
              <w:t>наймодателей</w:t>
            </w:r>
            <w:proofErr w:type="spellEnd"/>
            <w:r w:rsidRPr="0022594B">
              <w:rPr>
                <w:rFonts w:ascii="Times New Roman" w:eastAsia="Arial Unicode MS" w:hAnsi="Times New Roman"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5.2</w:t>
            </w:r>
          </w:p>
        </w:tc>
        <w:tc>
          <w:tcPr>
            <w:tcW w:w="5387" w:type="dxa"/>
          </w:tcPr>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Садоводческие некоммерческие товарищества и огороднические некоммерческие товарищества.</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5.3</w:t>
            </w:r>
          </w:p>
        </w:tc>
        <w:tc>
          <w:tcPr>
            <w:tcW w:w="5387" w:type="dxa"/>
          </w:tcPr>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5.4</w:t>
            </w:r>
          </w:p>
        </w:tc>
        <w:tc>
          <w:tcPr>
            <w:tcW w:w="5387" w:type="dxa"/>
          </w:tcPr>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Содержащиеся за счет прихожан религиозные организации.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5.5</w:t>
            </w:r>
          </w:p>
        </w:tc>
        <w:tc>
          <w:tcPr>
            <w:tcW w:w="5387" w:type="dxa"/>
          </w:tcPr>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Гарантирующие поставщики, </w:t>
            </w:r>
            <w:proofErr w:type="spellStart"/>
            <w:r w:rsidRPr="0022594B">
              <w:rPr>
                <w:rFonts w:ascii="Times New Roman" w:eastAsia="Arial Unicode MS" w:hAnsi="Times New Roman" w:cs="Tahoma"/>
                <w:sz w:val="20"/>
                <w:szCs w:val="20"/>
                <w:lang w:bidi="en-US"/>
              </w:rPr>
              <w:t>энергосбытовые</w:t>
            </w:r>
            <w:proofErr w:type="spellEnd"/>
            <w:r w:rsidRPr="0022594B">
              <w:rPr>
                <w:rFonts w:ascii="Times New Roman" w:eastAsia="Arial Unicode MS" w:hAnsi="Times New Roman" w:cs="Tahoma"/>
                <w:sz w:val="20"/>
                <w:szCs w:val="20"/>
                <w:lang w:bidi="en-US"/>
              </w:rPr>
              <w:t xml:space="preserve">, </w:t>
            </w:r>
            <w:proofErr w:type="spellStart"/>
            <w:r w:rsidRPr="0022594B">
              <w:rPr>
                <w:rFonts w:ascii="Times New Roman" w:eastAsia="Arial Unicode MS" w:hAnsi="Times New Roman" w:cs="Tahoma"/>
                <w:sz w:val="20"/>
                <w:szCs w:val="20"/>
                <w:lang w:bidi="en-US"/>
              </w:rPr>
              <w:t>энергоснабжающие</w:t>
            </w:r>
            <w:proofErr w:type="spellEnd"/>
            <w:r w:rsidRPr="0022594B">
              <w:rPr>
                <w:rFonts w:ascii="Times New Roman" w:eastAsia="Arial Unicode MS" w:hAnsi="Times New Roman"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p>
        </w:tc>
      </w:tr>
      <w:tr w:rsidR="00F72B80" w:rsidRPr="005A02CA" w:rsidTr="00F72B80">
        <w:tc>
          <w:tcPr>
            <w:tcW w:w="704" w:type="dxa"/>
          </w:tcPr>
          <w:p w:rsidR="00F72B80" w:rsidRPr="0022594B" w:rsidRDefault="00F72B80" w:rsidP="00BD5C78">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5.6</w:t>
            </w:r>
          </w:p>
        </w:tc>
        <w:tc>
          <w:tcPr>
            <w:tcW w:w="5387" w:type="dxa"/>
          </w:tcPr>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F72B80" w:rsidRPr="0022594B" w:rsidRDefault="00F72B80" w:rsidP="00BD5C78">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984" w:type="dxa"/>
            <w:tcBorders>
              <w:right w:val="single" w:sz="4" w:space="0" w:color="auto"/>
            </w:tcBorders>
          </w:tcPr>
          <w:p w:rsidR="00F72B80" w:rsidRPr="0022594B" w:rsidRDefault="00F72B80" w:rsidP="00BD5C78">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0,7</w:t>
            </w:r>
          </w:p>
        </w:tc>
        <w:tc>
          <w:tcPr>
            <w:tcW w:w="1843" w:type="dxa"/>
            <w:tcBorders>
              <w:right w:val="single" w:sz="4" w:space="0" w:color="auto"/>
            </w:tcBorders>
          </w:tcPr>
          <w:p w:rsidR="00F72B80" w:rsidRPr="005A02CA" w:rsidRDefault="00F72B80" w:rsidP="00BD5C78">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lang w:bidi="en-US"/>
              </w:rPr>
              <w:t>0,7</w:t>
            </w:r>
            <w:bookmarkStart w:id="2" w:name="_GoBack"/>
            <w:bookmarkEnd w:id="2"/>
          </w:p>
        </w:tc>
      </w:tr>
    </w:tbl>
    <w:p w:rsidR="005821B6" w:rsidRPr="00F969A7" w:rsidRDefault="00A52B47" w:rsidP="00F969A7">
      <w:pPr>
        <w:ind w:left="33" w:firstLine="709"/>
        <w:jc w:val="right"/>
        <w:rPr>
          <w:rFonts w:ascii="Times New Roman" w:hAnsi="Times New Roman"/>
          <w:sz w:val="28"/>
          <w:szCs w:val="28"/>
        </w:rPr>
        <w:sectPr w:rsidR="005821B6" w:rsidRPr="00F969A7" w:rsidSect="00BD5C78">
          <w:pgSz w:w="11906" w:h="16838"/>
          <w:pgMar w:top="1134" w:right="851" w:bottom="1134" w:left="1418" w:header="709" w:footer="709" w:gutter="0"/>
          <w:cols w:space="708"/>
          <w:docGrid w:linePitch="360"/>
        </w:sectPr>
      </w:pPr>
      <w:r w:rsidRPr="00A52B47">
        <w:rPr>
          <w:rFonts w:ascii="Times New Roman" w:hAnsi="Times New Roman"/>
          <w:sz w:val="28"/>
          <w:szCs w:val="28"/>
        </w:rPr>
        <w:t>».</w:t>
      </w:r>
    </w:p>
    <w:p w:rsidR="008E504F" w:rsidRDefault="008E504F" w:rsidP="008E504F">
      <w:pPr>
        <w:tabs>
          <w:tab w:val="left" w:pos="525"/>
          <w:tab w:val="right" w:pos="9540"/>
        </w:tabs>
        <w:jc w:val="both"/>
      </w:pPr>
    </w:p>
    <w:sectPr w:rsidR="008E504F">
      <w:pgSz w:w="11908" w:h="1684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2504B9"/>
    <w:rsid w:val="002C45D4"/>
    <w:rsid w:val="0047574F"/>
    <w:rsid w:val="004C2A7E"/>
    <w:rsid w:val="005821B6"/>
    <w:rsid w:val="006E12FD"/>
    <w:rsid w:val="008E504F"/>
    <w:rsid w:val="009353AD"/>
    <w:rsid w:val="00A519F8"/>
    <w:rsid w:val="00A52B47"/>
    <w:rsid w:val="00AD7D7C"/>
    <w:rsid w:val="00B73B68"/>
    <w:rsid w:val="00B94BFA"/>
    <w:rsid w:val="00BA429C"/>
    <w:rsid w:val="00BD5C78"/>
    <w:rsid w:val="00C112C6"/>
    <w:rsid w:val="00CC7893"/>
    <w:rsid w:val="00D516F6"/>
    <w:rsid w:val="00D9358F"/>
    <w:rsid w:val="00DC0247"/>
    <w:rsid w:val="00F443AD"/>
    <w:rsid w:val="00F72B80"/>
    <w:rsid w:val="00F7724F"/>
    <w:rsid w:val="00F9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20</Pages>
  <Words>7622</Words>
  <Characters>43447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24</cp:revision>
  <cp:lastPrinted>2023-10-17T20:59:00Z</cp:lastPrinted>
  <dcterms:created xsi:type="dcterms:W3CDTF">2023-10-17T07:43:00Z</dcterms:created>
  <dcterms:modified xsi:type="dcterms:W3CDTF">2023-10-17T23:38:00Z</dcterms:modified>
</cp:coreProperties>
</file>