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pStyle w:val="Style_2"/>
        <w:widowControl w:val="1"/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СЛУЖБА ОХРАНЫ</w:t>
      </w:r>
    </w:p>
    <w:p w14:paraId="07000000">
      <w:pPr>
        <w:pStyle w:val="Style_2"/>
        <w:widowControl w:val="1"/>
        <w:spacing w:line="252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ОБЪЕКТОВ КУЛЬТУРНОГО НАСЛЕДИЯ</w:t>
      </w:r>
    </w:p>
    <w:p w14:paraId="08000000">
      <w:pPr>
        <w:pStyle w:val="Style_2"/>
        <w:widowControl w:val="1"/>
        <w:spacing w:line="252" w:lineRule="auto"/>
        <w:ind/>
        <w:jc w:val="center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28"/>
        </w:rPr>
        <w:t>КАМЧАТСКОГО КРАЯ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637"/>
      </w:tblGrid>
      <w:tr>
        <w:trPr>
          <w:trHeight w:hRule="atLeast" w:val="2572"/>
        </w:trPr>
        <w:tc>
          <w:tcPr>
            <w:tcW w:type="dxa" w:w="963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spacing w:after="0" w:line="240" w:lineRule="auto"/>
              <w:ind/>
              <w:jc w:val="center"/>
              <w:rPr>
                <w:b w:val="1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 утверждении Программы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содержанием, сохранением, использованием, популяризацией и государственной охраной объектов культурного наследия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регионального значения, объектов культурного наследия местного (муниципального) значения, выявленных объектов культурного наследия на тер</w:t>
            </w:r>
            <w:r>
              <w:rPr>
                <w:rFonts w:ascii="Times New Roman" w:hAnsi="Times New Roman"/>
                <w:b w:val="1"/>
                <w:sz w:val="28"/>
              </w:rPr>
              <w:t>ритории Камчатского края на 2024</w:t>
            </w:r>
            <w:r>
              <w:rPr>
                <w:rFonts w:ascii="Times New Roman" w:hAnsi="Times New Roman"/>
                <w:b w:val="1"/>
                <w:sz w:val="28"/>
              </w:rPr>
              <w:t xml:space="preserve"> год</w:t>
            </w: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</w:t>
      </w:r>
      <w:r>
        <w:rPr>
          <w:rFonts w:ascii="Times New Roman" w:hAnsi="Times New Roman"/>
          <w:sz w:val="28"/>
        </w:rPr>
        <w:t xml:space="preserve">Федерального закона </w:t>
      </w:r>
      <w:r>
        <w:rPr>
          <w:rFonts w:ascii="Times New Roman" w:hAnsi="Times New Roman"/>
          <w:sz w:val="28"/>
        </w:rPr>
        <w:t xml:space="preserve">от 31.07.2020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248</w:t>
      </w:r>
      <w:r>
        <w:rPr>
          <w:rFonts w:ascii="Times New Roman" w:hAnsi="Times New Roman"/>
          <w:sz w:val="28"/>
        </w:rPr>
        <w:t xml:space="preserve">-ФЗ </w:t>
      </w:r>
      <w:r>
        <w:rPr>
          <w:rFonts w:ascii="Times New Roman" w:hAnsi="Times New Roman"/>
          <w:sz w:val="28"/>
        </w:rPr>
        <w:t>«О государственном контроле (надзоре) и муниципальном ко</w:t>
      </w:r>
      <w:r>
        <w:rPr>
          <w:rFonts w:ascii="Times New Roman" w:hAnsi="Times New Roman"/>
          <w:sz w:val="28"/>
        </w:rPr>
        <w:t xml:space="preserve">нтроле в Российской Федерации», </w:t>
      </w:r>
      <w:r>
        <w:rPr>
          <w:rFonts w:ascii="Times New Roman" w:hAnsi="Times New Roman"/>
          <w:sz w:val="28"/>
        </w:rPr>
        <w:t>постановлением Правительства Российской Федерации от 25.06.2021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8"/>
        </w:rPr>
        <w:t xml:space="preserve"> и постановлением</w:t>
      </w:r>
      <w:r>
        <w:rPr>
          <w:rFonts w:ascii="Times New Roman" w:hAnsi="Times New Roman"/>
          <w:sz w:val="28"/>
        </w:rPr>
        <w:t xml:space="preserve"> Правительст</w:t>
      </w:r>
      <w:r>
        <w:rPr>
          <w:rFonts w:ascii="Times New Roman" w:hAnsi="Times New Roman"/>
          <w:sz w:val="28"/>
        </w:rPr>
        <w:t>ва Российской Федерации от 10.0</w:t>
      </w:r>
      <w:r>
        <w:rPr>
          <w:rFonts w:ascii="Times New Roman" w:hAnsi="Times New Roman"/>
          <w:sz w:val="28"/>
        </w:rPr>
        <w:t>3.2022 № 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Утвердить </w:t>
      </w:r>
      <w:r>
        <w:rPr>
          <w:rFonts w:ascii="Times New Roman" w:hAnsi="Times New Roman"/>
          <w:sz w:val="28"/>
        </w:rPr>
        <w:t>Программу</w:t>
      </w:r>
      <w:r>
        <w:rPr>
          <w:rFonts w:ascii="Times New Roman" w:hAnsi="Times New Roman"/>
          <w:sz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содержанием, сохранением, использованием, популяризацией и государственно</w:t>
      </w:r>
      <w:r>
        <w:rPr>
          <w:rFonts w:ascii="Times New Roman" w:hAnsi="Times New Roman"/>
          <w:sz w:val="28"/>
        </w:rPr>
        <w:t xml:space="preserve">й охраной объектов культурного </w:t>
      </w:r>
      <w:r>
        <w:rPr>
          <w:rFonts w:ascii="Times New Roman" w:hAnsi="Times New Roman"/>
          <w:sz w:val="28"/>
        </w:rPr>
        <w:t>наследия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значения, объектов культурного наследия местного (муниципального) </w:t>
      </w:r>
      <w:r>
        <w:rPr>
          <w:rFonts w:ascii="Times New Roman" w:hAnsi="Times New Roman"/>
          <w:sz w:val="28"/>
        </w:rPr>
        <w:t>значения, выявленных объектов культурного наследия на тер</w:t>
      </w:r>
      <w:r>
        <w:rPr>
          <w:rFonts w:ascii="Times New Roman" w:hAnsi="Times New Roman"/>
          <w:sz w:val="28"/>
        </w:rPr>
        <w:t>ритории Камчатского края на 2024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 xml:space="preserve"> (далее – Программа профилактики) согласно приложению</w:t>
      </w:r>
      <w:r>
        <w:rPr>
          <w:rFonts w:ascii="Times New Roman" w:hAnsi="Times New Roman"/>
          <w:b w:val="0"/>
          <w:color w:val="252525"/>
          <w:sz w:val="28"/>
          <w:highlight w:val="white"/>
        </w:rPr>
        <w:t>.</w:t>
      </w:r>
    </w:p>
    <w:p w14:paraId="1700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sz w:val="28"/>
        </w:rPr>
        <w:t>2.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Назначить ответственным должностным лицом за организацию и проведение профилактических мероприятий в соответствии с Программой профилактики советника Службы охраны объектов культурного наследия Камчатского края</w:t>
      </w:r>
      <w:r>
        <w:rPr>
          <w:rStyle w:val="Style_5_ch"/>
          <w:rFonts w:ascii="Times New Roman" w:hAnsi="Times New Roman"/>
          <w:sz w:val="28"/>
        </w:rPr>
        <w:t xml:space="preserve"> (</w:t>
      </w:r>
      <w:r>
        <w:rPr>
          <w:rStyle w:val="Style_5_ch"/>
          <w:rFonts w:ascii="Times New Roman" w:hAnsi="Times New Roman"/>
          <w:sz w:val="28"/>
        </w:rPr>
        <w:t xml:space="preserve">далее – Служба) Приходько Ю.К., </w:t>
      </w:r>
      <w:r>
        <w:rPr>
          <w:rStyle w:val="Style_5_ch"/>
          <w:rFonts w:ascii="Times New Roman" w:hAnsi="Times New Roman"/>
          <w:sz w:val="28"/>
        </w:rPr>
        <w:t>а в ее отсутствие – главного специалиста Службы Родину</w:t>
      </w:r>
      <w:r>
        <w:rPr>
          <w:rStyle w:val="Style_5_ch"/>
          <w:rFonts w:ascii="Times New Roman" w:hAnsi="Times New Roman"/>
          <w:sz w:val="28"/>
        </w:rPr>
        <w:t xml:space="preserve"> </w:t>
      </w:r>
      <w:r>
        <w:rPr>
          <w:rStyle w:val="Style_5_ch"/>
          <w:rFonts w:ascii="Times New Roman" w:hAnsi="Times New Roman"/>
          <w:sz w:val="28"/>
        </w:rPr>
        <w:t>Е.В</w:t>
      </w:r>
      <w:r>
        <w:rPr>
          <w:rStyle w:val="Style_5_ch"/>
          <w:rFonts w:ascii="Times New Roman" w:hAnsi="Times New Roman"/>
          <w:sz w:val="28"/>
        </w:rPr>
        <w:t>.</w:t>
      </w:r>
    </w:p>
    <w:p w14:paraId="1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Контроль за исполнением настоящего приказа оставляю за собой.</w:t>
      </w:r>
    </w:p>
    <w:p w14:paraId="1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76"/>
        <w:gridCol w:w="4393"/>
        <w:gridCol w:w="2268"/>
      </w:tblGrid>
      <w:tr>
        <w:trPr>
          <w:trHeight w:hRule="atLeast" w:val="2220"/>
        </w:trPr>
        <w:tc>
          <w:tcPr>
            <w:tcW w:type="dxa" w:w="2976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>уководитель Службы охраны объектов культурного наследия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393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8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8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И.Н. Заиграева</w:t>
            </w:r>
          </w:p>
        </w:tc>
      </w:tr>
    </w:tbl>
    <w:p w14:paraId="1F000000">
      <w:pPr>
        <w:spacing w:after="0" w:line="360" w:lineRule="auto"/>
        <w:ind/>
        <w:rPr>
          <w:sz w:val="28"/>
        </w:rPr>
      </w:pPr>
    </w:p>
    <w:p w14:paraId="20000000">
      <w:pPr>
        <w:spacing w:after="0" w:line="360" w:lineRule="auto"/>
        <w:ind/>
        <w:rPr>
          <w:sz w:val="28"/>
        </w:rPr>
      </w:pPr>
    </w:p>
    <w:p w14:paraId="21000000">
      <w:pPr>
        <w:spacing w:after="0" w:line="360" w:lineRule="auto"/>
        <w:ind/>
        <w:rPr>
          <w:sz w:val="28"/>
        </w:rPr>
      </w:pPr>
    </w:p>
    <w:p w14:paraId="22000000">
      <w:pPr>
        <w:spacing w:after="0" w:line="360" w:lineRule="auto"/>
        <w:ind/>
        <w:rPr>
          <w:sz w:val="28"/>
        </w:rPr>
      </w:pPr>
    </w:p>
    <w:p w14:paraId="23000000">
      <w:pPr>
        <w:spacing w:after="0" w:line="360" w:lineRule="auto"/>
        <w:ind/>
        <w:rPr>
          <w:sz w:val="28"/>
        </w:rPr>
      </w:pPr>
    </w:p>
    <w:p w14:paraId="24000000">
      <w:pPr>
        <w:spacing w:after="0" w:line="360" w:lineRule="auto"/>
        <w:ind/>
        <w:rPr>
          <w:sz w:val="28"/>
        </w:rPr>
      </w:pPr>
    </w:p>
    <w:p w14:paraId="25000000">
      <w:pPr>
        <w:spacing w:after="0" w:line="360" w:lineRule="auto"/>
        <w:ind/>
        <w:rPr>
          <w:sz w:val="28"/>
        </w:rPr>
      </w:pPr>
    </w:p>
    <w:p w14:paraId="26000000">
      <w:pPr>
        <w:spacing w:after="0" w:line="360" w:lineRule="auto"/>
        <w:ind/>
        <w:rPr>
          <w:sz w:val="28"/>
        </w:rPr>
      </w:pPr>
    </w:p>
    <w:p w14:paraId="27000000">
      <w:pPr>
        <w:spacing w:after="0" w:line="360" w:lineRule="auto"/>
        <w:ind/>
        <w:rPr>
          <w:sz w:val="28"/>
        </w:rPr>
      </w:pPr>
    </w:p>
    <w:p w14:paraId="28000000">
      <w:pPr>
        <w:spacing w:after="0" w:line="360" w:lineRule="auto"/>
        <w:ind/>
        <w:rPr>
          <w:sz w:val="28"/>
        </w:rPr>
      </w:pPr>
    </w:p>
    <w:p w14:paraId="29000000">
      <w:pPr>
        <w:spacing w:after="0" w:line="360" w:lineRule="auto"/>
        <w:ind/>
        <w:rPr>
          <w:sz w:val="28"/>
        </w:rPr>
      </w:pPr>
    </w:p>
    <w:p w14:paraId="2A000000">
      <w:pPr>
        <w:spacing w:after="0" w:line="360" w:lineRule="auto"/>
        <w:ind/>
        <w:rPr>
          <w:sz w:val="28"/>
        </w:rPr>
      </w:pPr>
    </w:p>
    <w:p w14:paraId="2B000000">
      <w:pPr>
        <w:spacing w:after="0" w:line="360" w:lineRule="auto"/>
        <w:ind/>
        <w:rPr>
          <w:sz w:val="28"/>
        </w:rPr>
      </w:pPr>
    </w:p>
    <w:p w14:paraId="2C000000">
      <w:pPr>
        <w:spacing w:after="0" w:line="360" w:lineRule="auto"/>
        <w:ind/>
        <w:rPr>
          <w:sz w:val="28"/>
        </w:rPr>
      </w:pPr>
    </w:p>
    <w:p w14:paraId="2D000000">
      <w:pPr>
        <w:spacing w:after="0" w:line="360" w:lineRule="auto"/>
        <w:ind/>
        <w:rPr>
          <w:sz w:val="28"/>
        </w:rPr>
      </w:pPr>
    </w:p>
    <w:p w14:paraId="2E000000">
      <w:pPr>
        <w:spacing w:after="0" w:line="360" w:lineRule="auto"/>
        <w:ind/>
        <w:rPr>
          <w:sz w:val="28"/>
        </w:rPr>
      </w:pPr>
    </w:p>
    <w:p w14:paraId="2F000000">
      <w:pPr>
        <w:spacing w:after="0" w:line="360" w:lineRule="auto"/>
        <w:ind/>
        <w:rPr>
          <w:sz w:val="28"/>
        </w:rPr>
      </w:pPr>
    </w:p>
    <w:p w14:paraId="30000000">
      <w:pPr>
        <w:spacing w:after="0" w:line="360" w:lineRule="auto"/>
        <w:ind/>
        <w:rPr>
          <w:sz w:val="28"/>
        </w:rPr>
      </w:pPr>
    </w:p>
    <w:p w14:paraId="31000000">
      <w:pPr>
        <w:spacing w:after="0" w:line="360" w:lineRule="auto"/>
        <w:ind/>
        <w:rPr>
          <w:sz w:val="28"/>
        </w:rPr>
      </w:pPr>
    </w:p>
    <w:p w14:paraId="32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Приложение к </w:t>
      </w:r>
      <w:r>
        <w:rPr>
          <w:rFonts w:ascii="Times New Roman" w:hAnsi="Times New Roman"/>
          <w:sz w:val="28"/>
        </w:rPr>
        <w:t>приказу</w:t>
      </w:r>
    </w:p>
    <w:p w14:paraId="33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 Службы охраны объектов культурного</w:t>
      </w:r>
    </w:p>
    <w:p w14:paraId="34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 наследия </w:t>
      </w:r>
      <w:r>
        <w:rPr>
          <w:rFonts w:ascii="Times New Roman" w:hAnsi="Times New Roman"/>
          <w:sz w:val="28"/>
        </w:rPr>
        <w:t xml:space="preserve">Камчатского края </w:t>
      </w:r>
    </w:p>
    <w:p w14:paraId="35000000">
      <w:pPr>
        <w:spacing w:after="0" w:line="240" w:lineRule="auto"/>
        <w:ind/>
        <w:jc w:val="right"/>
        <w:rPr>
          <w:sz w:val="28"/>
        </w:rPr>
      </w:pPr>
    </w:p>
    <w:p w14:paraId="36000000">
      <w:pPr>
        <w:spacing w:after="0" w:line="240" w:lineRule="auto"/>
        <w:ind/>
        <w:jc w:val="right"/>
        <w:rPr>
          <w:sz w:val="28"/>
        </w:rPr>
      </w:pPr>
    </w:p>
    <w:p w14:paraId="37000000">
      <w:pPr>
        <w:spacing w:after="0" w:line="240" w:lineRule="auto"/>
        <w:ind w:firstLine="0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содержанием, сохранением, использованием, популяризацией и государственной охраной объектов культурного  </w:t>
      </w: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наследия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регионального значения, объектов культурного 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наследия местного (муниципального) значения, </w:t>
      </w:r>
    </w:p>
    <w:p w14:paraId="3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выявленных объектов культурного наследия 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тер</w:t>
      </w:r>
      <w:r>
        <w:rPr>
          <w:rFonts w:ascii="Times New Roman" w:hAnsi="Times New Roman"/>
          <w:sz w:val="28"/>
        </w:rPr>
        <w:t>ритории Камчатского края на 2024</w:t>
      </w:r>
      <w:r>
        <w:rPr>
          <w:rFonts w:ascii="Times New Roman" w:hAnsi="Times New Roman"/>
          <w:sz w:val="28"/>
        </w:rPr>
        <w:t xml:space="preserve"> год </w:t>
      </w:r>
    </w:p>
    <w:p w14:paraId="3D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3E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1. Анализ текущего состояния осуществления вида контроля, описание текущего развития профилактической деятельности Службы охраны объектов культурного наследия Камчатского края (далее – Служба), характеристика проблем, на решение которых направлена программа профилактики</w:t>
      </w:r>
    </w:p>
    <w:p w14:paraId="3F000000">
      <w:pPr>
        <w:spacing w:after="0" w:before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11 Федерального закона от 25.06.2002 № 73-ФЗ «</w:t>
      </w:r>
      <w:r>
        <w:rPr>
          <w:rFonts w:ascii="Times New Roman" w:hAnsi="Times New Roman"/>
          <w:sz w:val="28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8"/>
        </w:rPr>
        <w:t>» (далее – Закон 73-ФЗ), Положением о Службе, утвержденным постановление</w:t>
      </w:r>
      <w:r>
        <w:rPr>
          <w:rFonts w:ascii="Times New Roman" w:hAnsi="Times New Roman"/>
          <w:sz w:val="28"/>
        </w:rPr>
        <w:t>м П</w:t>
      </w:r>
      <w:r>
        <w:rPr>
          <w:rFonts w:ascii="Times New Roman" w:hAnsi="Times New Roman"/>
          <w:sz w:val="28"/>
        </w:rPr>
        <w:t xml:space="preserve">равительства Камчатского края </w:t>
      </w:r>
      <w:r>
        <w:rPr>
          <w:rFonts w:ascii="Times New Roman" w:hAnsi="Times New Roman"/>
          <w:sz w:val="28"/>
        </w:rPr>
        <w:t>от 31.03.2023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 xml:space="preserve"> № 184-П «Об утверждении Положения о Службе охраны объектов культурного наследия Камчатского края» Служба </w:t>
      </w:r>
      <w:r>
        <w:rPr>
          <w:rFonts w:ascii="Times New Roman" w:hAnsi="Times New Roman"/>
          <w:sz w:val="28"/>
        </w:rPr>
        <w:t xml:space="preserve">осуществляет региональный государственный контроль (надзор) </w:t>
      </w:r>
      <w:r>
        <w:rPr>
          <w:rFonts w:ascii="Times New Roman" w:hAnsi="Times New Roman"/>
          <w:sz w:val="28"/>
        </w:rPr>
        <w:t>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в Камчатском крае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региональный г</w:t>
      </w:r>
      <w:r>
        <w:rPr>
          <w:rFonts w:ascii="Times New Roman" w:hAnsi="Times New Roman"/>
          <w:sz w:val="28"/>
        </w:rPr>
        <w:t>осударственный контроль (надзор</w:t>
      </w:r>
      <w:r>
        <w:rPr>
          <w:rFonts w:ascii="Times New Roman" w:hAnsi="Times New Roman"/>
          <w:sz w:val="28"/>
        </w:rPr>
        <w:t xml:space="preserve">). 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 на тер</w:t>
      </w:r>
      <w:r>
        <w:rPr>
          <w:rFonts w:ascii="Times New Roman" w:hAnsi="Times New Roman"/>
          <w:sz w:val="28"/>
        </w:rPr>
        <w:t>ритории Камчатского края на 2024</w:t>
      </w:r>
      <w:r>
        <w:rPr>
          <w:rFonts w:ascii="Times New Roman" w:hAnsi="Times New Roman"/>
          <w:sz w:val="28"/>
        </w:rPr>
        <w:t xml:space="preserve"> год (далее – Программа профилактика) разработана во исполнение </w:t>
      </w:r>
      <w:r>
        <w:rPr>
          <w:rStyle w:val="Style_6_ch"/>
          <w:rFonts w:ascii="Times New Roman" w:hAnsi="Times New Roman"/>
          <w:sz w:val="28"/>
        </w:rPr>
        <w:fldChar w:fldCharType="begin"/>
      </w:r>
      <w:r>
        <w:rPr>
          <w:rStyle w:val="Style_6_ch"/>
          <w:rFonts w:ascii="Times New Roman" w:hAnsi="Times New Roman"/>
          <w:sz w:val="28"/>
        </w:rPr>
        <w:instrText>HYPERLINK "consultantplus://offline/ref=A662259ABDB2546585C70B010269D7DEF7A43517F29FB02230A0DE8EDDE66E53383BB309917EF9FD4C21E3D7171B3D1D4A58507962jB32F"</w:instrText>
      </w:r>
      <w:r>
        <w:rPr>
          <w:rStyle w:val="Style_6_ch"/>
          <w:rFonts w:ascii="Times New Roman" w:hAnsi="Times New Roman"/>
          <w:sz w:val="28"/>
        </w:rPr>
        <w:fldChar w:fldCharType="separate"/>
      </w:r>
      <w:r>
        <w:rPr>
          <w:rStyle w:val="Style_6_ch"/>
          <w:rFonts w:ascii="Times New Roman" w:hAnsi="Times New Roman"/>
          <w:sz w:val="28"/>
        </w:rPr>
        <w:t xml:space="preserve">статьи </w:t>
      </w:r>
      <w:r>
        <w:rPr>
          <w:rStyle w:val="Style_6_ch"/>
          <w:rFonts w:ascii="Times New Roman" w:hAnsi="Times New Roman"/>
          <w:sz w:val="28"/>
        </w:rPr>
        <w:fldChar w:fldCharType="end"/>
      </w:r>
      <w:r>
        <w:rPr>
          <w:rStyle w:val="Style_6_ch"/>
          <w:rFonts w:ascii="Times New Roman" w:hAnsi="Times New Roman"/>
          <w:sz w:val="28"/>
        </w:rPr>
        <w:t>44</w:t>
      </w:r>
      <w:r>
        <w:rPr>
          <w:rFonts w:ascii="Times New Roman" w:hAnsi="Times New Roman"/>
          <w:sz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 (далее – Закон 248-ФЗ) 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Российской Федерации от 25.06.2021 № 990 «Об утверждении Правил разработки и утверждения контрольными </w:t>
      </w:r>
      <w:r>
        <w:rPr>
          <w:rFonts w:ascii="Times New Roman" w:hAnsi="Times New Roman"/>
          <w:sz w:val="28"/>
        </w:rPr>
        <w:t>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8"/>
        </w:rPr>
        <w:t>) охраняемым законом ценностям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а также постановления</w:t>
      </w:r>
      <w:r>
        <w:rPr>
          <w:rFonts w:ascii="Times New Roman" w:hAnsi="Times New Roman"/>
          <w:sz w:val="28"/>
        </w:rPr>
        <w:t xml:space="preserve"> Правительст</w:t>
      </w:r>
      <w:r>
        <w:rPr>
          <w:rFonts w:ascii="Times New Roman" w:hAnsi="Times New Roman"/>
          <w:sz w:val="28"/>
        </w:rPr>
        <w:t>ва Российской Федерации от 10.0</w:t>
      </w:r>
      <w:r>
        <w:rPr>
          <w:rFonts w:ascii="Times New Roman" w:hAnsi="Times New Roman"/>
          <w:sz w:val="28"/>
        </w:rPr>
        <w:t>3.2022 № 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</w:rPr>
        <w:t>.</w:t>
      </w:r>
    </w:p>
    <w:p w14:paraId="42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профилактики представляет собой взаимосвязанный по целям, задачам, ресурсам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 </w:t>
      </w:r>
    </w:p>
    <w:p w14:paraId="43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За период с</w:t>
      </w:r>
      <w:r>
        <w:rPr>
          <w:rFonts w:ascii="Times New Roman" w:hAnsi="Times New Roman"/>
          <w:color w:val="000000"/>
          <w:sz w:val="28"/>
        </w:rPr>
        <w:t xml:space="preserve"> 01.01.2023 по 30.09.2023 Службой б</w:t>
      </w:r>
      <w:r>
        <w:rPr>
          <w:rFonts w:ascii="Times New Roman" w:hAnsi="Times New Roman"/>
          <w:color w:val="000000"/>
          <w:sz w:val="28"/>
          <w:highlight w:val="white"/>
        </w:rPr>
        <w:t xml:space="preserve">ез взаимодействия с контролируемым лицом </w:t>
      </w:r>
      <w:r>
        <w:rPr>
          <w:rFonts w:ascii="Times New Roman" w:hAnsi="Times New Roman"/>
          <w:color w:val="000000"/>
          <w:sz w:val="28"/>
        </w:rPr>
        <w:t>проведено 3 контрольных (надзорных) мероприятия (далее - контрольные (надзорные) мероприятия без взаимодействия)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 результатам которых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sz w:val="28"/>
        </w:rPr>
        <w:t xml:space="preserve">ыли выявлены </w:t>
      </w:r>
      <w:r>
        <w:rPr>
          <w:rFonts w:ascii="Times New Roman" w:hAnsi="Times New Roman"/>
          <w:sz w:val="28"/>
        </w:rPr>
        <w:t xml:space="preserve">нарушения обязательных требований законодательства в сфере охраны объектов культурного наследия (далее – обязательные требования). 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  <w:highlight w:val="white"/>
        </w:rPr>
      </w:pPr>
      <w:r>
        <w:rPr>
          <w:rFonts w:ascii="Times New Roman" w:hAnsi="Times New Roman"/>
          <w:b w:val="0"/>
          <w:color w:val="000000"/>
          <w:sz w:val="28"/>
          <w:highlight w:val="white"/>
        </w:rPr>
        <w:t>С целью предотвращения нарушений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контролируемыми лицами обязате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>льных требований Служба провела</w:t>
      </w:r>
      <w:r>
        <w:rPr>
          <w:rFonts w:ascii="Times New Roman" w:hAnsi="Times New Roman"/>
          <w:b w:val="0"/>
          <w:color w:val="000000"/>
          <w:sz w:val="28"/>
          <w:highlight w:val="white"/>
        </w:rPr>
        <w:t xml:space="preserve"> следующие профилактические мероприятия:</w:t>
      </w:r>
    </w:p>
    <w:p w14:paraId="45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1) информирование: регулярное размещение сведений на официальном сайте Службы, а также в социальных аккаунтах Службы. </w:t>
      </w:r>
    </w:p>
    <w:p w14:paraId="46000000">
      <w:pPr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 консультирование: по телефону, на личном приеме, в ходе проведения профилактического мероприятия.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В соответствии с </w:t>
      </w:r>
      <w:r>
        <w:rPr>
          <w:rFonts w:ascii="Times New Roman" w:hAnsi="Times New Roman"/>
          <w:b w:val="0"/>
          <w:color w:val="000000"/>
          <w:sz w:val="28"/>
        </w:rPr>
        <w:t xml:space="preserve">положениями </w:t>
      </w:r>
      <w:r>
        <w:rPr>
          <w:rStyle w:val="Style_6_ch"/>
          <w:rFonts w:ascii="Times New Roman" w:hAnsi="Times New Roman"/>
          <w:b w:val="0"/>
          <w:color w:val="000000"/>
          <w:sz w:val="28"/>
        </w:rPr>
        <w:fldChar w:fldCharType="begin"/>
      </w:r>
      <w:r>
        <w:rPr>
          <w:rStyle w:val="Style_6_ch"/>
          <w:rFonts w:ascii="Times New Roman" w:hAnsi="Times New Roman"/>
          <w:b w:val="0"/>
          <w:color w:val="000000"/>
          <w:sz w:val="28"/>
        </w:rPr>
        <w:instrText>HYPERLINK "consultantplus://offline/ref=A662259ABDB2546585C70B010269D7DEF7A73B13F298B02230A0DE8EDDE66E53383BB30C907CF9FD4C21E3D7171B3D1D4A58507962jB32F"</w:instrText>
      </w:r>
      <w:r>
        <w:rPr>
          <w:rStyle w:val="Style_6_ch"/>
          <w:rFonts w:ascii="Times New Roman" w:hAnsi="Times New Roman"/>
          <w:b w:val="0"/>
          <w:color w:val="000000"/>
          <w:sz w:val="28"/>
        </w:rPr>
        <w:fldChar w:fldCharType="separate"/>
      </w:r>
      <w:r>
        <w:rPr>
          <w:rStyle w:val="Style_6_ch"/>
          <w:rFonts w:ascii="Times New Roman" w:hAnsi="Times New Roman"/>
          <w:b w:val="0"/>
          <w:color w:val="000000"/>
          <w:sz w:val="28"/>
        </w:rPr>
        <w:t>статьи 47.6</w:t>
      </w:r>
      <w:r>
        <w:rPr>
          <w:rStyle w:val="Style_6_ch"/>
          <w:rFonts w:ascii="Times New Roman" w:hAnsi="Times New Roman"/>
          <w:b w:val="0"/>
          <w:color w:val="000000"/>
          <w:sz w:val="28"/>
        </w:rPr>
        <w:fldChar w:fldCharType="end"/>
      </w:r>
      <w:r>
        <w:rPr>
          <w:rFonts w:ascii="Times New Roman" w:hAnsi="Times New Roman"/>
          <w:b w:val="0"/>
          <w:color w:val="000000"/>
          <w:sz w:val="28"/>
        </w:rPr>
        <w:t xml:space="preserve"> Закона № 73-ФЗ Службой ведется работа по оформлению охранных</w:t>
      </w:r>
      <w:r>
        <w:rPr>
          <w:rFonts w:ascii="Times New Roman" w:hAnsi="Times New Roman"/>
          <w:b w:val="0"/>
          <w:color w:val="000000"/>
          <w:sz w:val="28"/>
        </w:rPr>
        <w:t xml:space="preserve"> обязательств собственника или иного законного владельца объекта культурного наследия, включенного в реестр (далее – охранные обязательства).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Охранное обязательство является документом, содержащим в себе сведения об особенностях объекта культурного наследия, а также перечень обязательных требований по содержанию, сохранению, использованию, популяризации и государственной охране такого объекта.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Охранное обязательство направляется всем собственникам (иным законным владельцам) объекта культурного наследия, а в филиал ФГБУ «Федеральная кадастровая палата </w:t>
      </w:r>
      <w:r>
        <w:rPr>
          <w:rFonts w:ascii="Times New Roman" w:hAnsi="Times New Roman"/>
          <w:color w:themeColor="text1" w:val="000000"/>
          <w:sz w:val="28"/>
        </w:rPr>
        <w:t>Росреестра</w:t>
      </w:r>
      <w:r>
        <w:rPr>
          <w:rFonts w:ascii="Times New Roman" w:hAnsi="Times New Roman"/>
          <w:color w:themeColor="text1" w:val="000000"/>
          <w:sz w:val="28"/>
        </w:rPr>
        <w:t>» по Камчатскому краю (далее – орган регистрации прав) для регистрации ограничений (обременений) прав в Едином государственном реестре недвижимости (</w:t>
      </w:r>
      <w:r>
        <w:rPr>
          <w:rStyle w:val="Style_6_ch"/>
          <w:rFonts w:ascii="Times New Roman" w:hAnsi="Times New Roman"/>
          <w:color w:themeColor="text1" w:val="000000"/>
          <w:sz w:val="28"/>
        </w:rPr>
        <w:fldChar w:fldCharType="begin"/>
      </w:r>
      <w:r>
        <w:rPr>
          <w:rStyle w:val="Style_6_ch"/>
          <w:rFonts w:ascii="Times New Roman" w:hAnsi="Times New Roman"/>
          <w:color w:themeColor="text1" w:val="000000"/>
          <w:sz w:val="28"/>
        </w:rPr>
        <w:instrText>HYPERLINK "consultantplus://offline/ref=A662259ABDB2546585C70B010269D7DEF7A73B13F298B02230A0DE8EDDE66E53383BB30C9C7DF9FD4C21E3D7171B3D1D4A58507962jB32F"</w:instrText>
      </w:r>
      <w:r>
        <w:rPr>
          <w:rStyle w:val="Style_6_ch"/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Style w:val="Style_6_ch"/>
          <w:rFonts w:ascii="Times New Roman" w:hAnsi="Times New Roman"/>
          <w:color w:themeColor="text1" w:val="000000"/>
          <w:sz w:val="28"/>
        </w:rPr>
        <w:t>статья 47.1</w:t>
      </w:r>
      <w:r>
        <w:rPr>
          <w:rStyle w:val="Style_6_ch"/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Закона № 73-ФЗ).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силу </w:t>
      </w:r>
      <w:r>
        <w:rPr>
          <w:rStyle w:val="Style_6_ch"/>
          <w:rFonts w:ascii="Times New Roman" w:hAnsi="Times New Roman"/>
          <w:color w:themeColor="text1" w:val="000000"/>
          <w:sz w:val="28"/>
        </w:rPr>
        <w:fldChar w:fldCharType="begin"/>
      </w:r>
      <w:r>
        <w:rPr>
          <w:rStyle w:val="Style_6_ch"/>
          <w:rFonts w:ascii="Times New Roman" w:hAnsi="Times New Roman"/>
          <w:color w:themeColor="text1" w:val="000000"/>
          <w:sz w:val="28"/>
        </w:rPr>
        <w:instrText>HYPERLINK "consultantplus://offline/ref=A662259ABDB2546585C70B010269D7DEF7A73B13F298B02230A0DE8EDDE66E53383BB30D9D7DF9FD4C21E3D7171B3D1D4A58507962jB32F"</w:instrText>
      </w:r>
      <w:r>
        <w:rPr>
          <w:rStyle w:val="Style_6_ch"/>
          <w:rFonts w:ascii="Times New Roman" w:hAnsi="Times New Roman"/>
          <w:color w:themeColor="text1" w:val="000000"/>
          <w:sz w:val="28"/>
        </w:rPr>
        <w:fldChar w:fldCharType="separate"/>
      </w:r>
      <w:r>
        <w:rPr>
          <w:rStyle w:val="Style_6_ch"/>
          <w:rFonts w:ascii="Times New Roman" w:hAnsi="Times New Roman"/>
          <w:color w:themeColor="text1" w:val="000000"/>
          <w:sz w:val="28"/>
        </w:rPr>
        <w:t>пункта 7 статьи 48</w:t>
      </w:r>
      <w:r>
        <w:rPr>
          <w:rStyle w:val="Style_6_ch"/>
          <w:rFonts w:ascii="Times New Roman" w:hAnsi="Times New Roman"/>
          <w:color w:themeColor="text1" w:val="000000"/>
          <w:sz w:val="28"/>
        </w:rPr>
        <w:fldChar w:fldCharType="end"/>
      </w:r>
      <w:r>
        <w:rPr>
          <w:rFonts w:ascii="Times New Roman" w:hAnsi="Times New Roman"/>
          <w:color w:themeColor="text1" w:val="000000"/>
          <w:sz w:val="28"/>
        </w:rPr>
        <w:t xml:space="preserve"> Закона № 73-ФЗ договоры о передаче прав собственности (владения, пользования) на объект культурного наследия должны включать существенное условие о возникновении у нового правообладателя обязанностей по исполнению охранного обязательства. Копия охранного обязательства должна являться неотъемлемой частью таких договоров.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 учетом изложенного работа по оформлению охранных обязательств и направлению их в адрес собственников (иных законных владельцев) объектов культурного наследия, а также в орган регистрации прав, отнесена настоящей </w:t>
      </w:r>
      <w:r>
        <w:rPr>
          <w:rFonts w:ascii="Times New Roman" w:hAnsi="Times New Roman"/>
          <w:color w:themeColor="text1" w:val="000000"/>
          <w:sz w:val="28"/>
        </w:rPr>
        <w:t xml:space="preserve">программой к профилактическим мероприятиям, так как обеспечивает адресное информирование подконтрольных субъектов о специальном </w:t>
      </w:r>
      <w:r>
        <w:rPr>
          <w:rFonts w:ascii="Times New Roman" w:hAnsi="Times New Roman"/>
          <w:sz w:val="28"/>
        </w:rPr>
        <w:t>статусе объектов культурного наследия и установленных в отношении них обязательных требований.</w:t>
      </w:r>
    </w:p>
    <w:p w14:paraId="4C000000">
      <w:pPr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Кроме того, охранные обязательства размещаются на официальном сайте Службы в информационной-телекоммуникационной сети Интернет в разделе «Объекты культурного наследия». 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результате реализации программы ожидается повышение уровня информированности подконтрольных субъектов по вопросам соблюдения обязательных требований, повышение правовой грамотности подконтрольных субъектов, формирование ответственного отношения к проблемам сохранения объектов культурного наследия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Типичными нарушениями обязательных требований законодательства Российской Федерации в области охраны объектов культурного наследия являются: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непроведение собственником (пользователем) объекта культурного наследия работ по сохранению объекта культурного наследия при наличии необходимости проведения таких работ;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проведение работ, изменяющих предмет охраны объекта культурного наследия либо ухудшающих условия, необходимые для сохранности объекта культурного наследия;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проведение работ по сохранению объекта культурного наследия без разрешения и согласования органа охраны объектов культурного наследия;</w:t>
      </w:r>
    </w:p>
    <w:p w14:paraId="5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проведение строительных и иных работ вблизи объекта культурного наследия в отсутствие в проектной документации разделов, предусматривающих мероприятия по обеспечению сохранности объектов культурного наследия, согласованных Службой.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 риском при реализации Программы профилактики является различное толкование содержания обязательных требований подконтрольными субъектами, что может привести к нарушению ими обязательных требований законодательства в области охраны объектов культурного наследия.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2. Цели и задачи реализации Программы </w:t>
      </w:r>
    </w:p>
    <w:p w14:paraId="56000000">
      <w:pPr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Программы профилактики:</w:t>
      </w:r>
    </w:p>
    <w:p w14:paraId="5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Задачи Программы профилактики:</w:t>
      </w:r>
    </w:p>
    <w:p w14:paraId="5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укрепление системы профилактики нарушений рисков причинения вреда (ущерба) охраняемым законом ценностям;</w:t>
      </w:r>
    </w:p>
    <w:p w14:paraId="5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 повышение правосознания и правовой культуры юридических лиц, индивидуальных предпринимателей и граждан; </w:t>
      </w:r>
    </w:p>
    <w:p w14:paraId="5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5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 </w:t>
      </w:r>
    </w:p>
    <w:p w14:paraId="6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 оценка состояния подконтрольной среды и определение видов и интенсивности профилактических мероприятий. </w:t>
      </w:r>
    </w:p>
    <w:p w14:paraId="6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3. Перечень профилактических мероприятий, сроки и </w:t>
      </w:r>
    </w:p>
    <w:p w14:paraId="64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периодичность их проведения</w:t>
      </w:r>
    </w:p>
    <w:p w14:paraId="65000000">
      <w:pPr>
        <w:spacing w:after="0" w:before="0" w:line="240" w:lineRule="auto"/>
        <w:ind w:firstLine="709" w:left="0"/>
        <w:contextualSpacing w:val="1"/>
        <w:jc w:val="center"/>
        <w:rPr>
          <w:sz w:val="28"/>
        </w:rPr>
      </w:pPr>
    </w:p>
    <w:tbl>
      <w:tblPr>
        <w:tblStyle w:val="Style_3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73"/>
        <w:gridCol w:w="3320"/>
        <w:gridCol w:w="2887"/>
        <w:gridCol w:w="2857"/>
      </w:tblGrid>
      <w:tr>
        <w:trPr>
          <w:trHeight w:hRule="atLeast" w:val="776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выполнения мероприятия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</w:p>
          <w:p w14:paraId="6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исполнение</w:t>
            </w: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before="0" w:line="240" w:lineRule="auto"/>
              <w:ind/>
              <w:contextualSpacing w:val="1"/>
              <w:jc w:val="center"/>
            </w:pPr>
            <w:r>
              <w:rPr>
                <w:sz w:val="22"/>
              </w:rPr>
              <w:t>4</w:t>
            </w:r>
          </w:p>
        </w:tc>
      </w:tr>
      <w:tr>
        <w:trPr>
          <w:trHeight w:hRule="atLeast" w:val="3610"/>
        </w:trP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Информирование</w:t>
            </w:r>
            <w:r>
              <w:rPr>
                <w:rFonts w:ascii="Times New Roman" w:hAnsi="Times New Roman"/>
                <w:spacing w:val="-6"/>
              </w:rPr>
              <w:t>:</w:t>
            </w:r>
          </w:p>
          <w:p w14:paraId="71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размещение сведений в специализированном разделе на официальном сайте Службы;</w:t>
            </w:r>
          </w:p>
          <w:p w14:paraId="7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 xml:space="preserve">- </w:t>
            </w:r>
            <w:r>
              <w:rPr>
                <w:rFonts w:ascii="Times New Roman" w:hAnsi="Times New Roman"/>
                <w:spacing w:val="-6"/>
              </w:rPr>
              <w:t xml:space="preserve">ведение на официальном сайте Службы раздела </w:t>
            </w:r>
            <w:r>
              <w:rPr>
                <w:rFonts w:ascii="Times New Roman" w:hAnsi="Times New Roman"/>
                <w:spacing w:val="-6"/>
              </w:rPr>
              <w:t>«Часто задаваемые вопросы»;</w:t>
            </w:r>
          </w:p>
          <w:p w14:paraId="7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интервью руководителя или инспектора;</w:t>
            </w:r>
          </w:p>
          <w:p w14:paraId="7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</w:rPr>
              <w:t>- проведение семинаров, «круглых столов».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Служба</w:t>
            </w: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 w:firstLine="0" w:left="0"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правоприменительной практики</w:t>
            </w:r>
          </w:p>
          <w:p w14:paraId="7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widowControl w:val="0"/>
              <w:spacing w:after="0" w:line="240" w:lineRule="auto"/>
              <w:ind/>
              <w:rPr>
                <w:sz w:val="22"/>
              </w:rPr>
            </w:pPr>
            <w:r>
              <w:rPr>
                <w:sz w:val="22"/>
              </w:rPr>
              <w:t>До 1 марта года, следующего за отчетным</w:t>
            </w:r>
          </w:p>
          <w:p w14:paraId="7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Служба</w:t>
            </w: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Объявление предостережения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поступления информации (сведения)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>
              <w:rPr>
                <w:rFonts w:ascii="Times New Roman" w:hAnsi="Times New Roman"/>
              </w:rPr>
              <w:t>(ущерба) охраняемым законом ценностям, Служба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Служба </w:t>
            </w: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Консультирование:</w:t>
            </w:r>
          </w:p>
          <w:p w14:paraId="83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по телефону;</w:t>
            </w:r>
          </w:p>
          <w:p w14:paraId="84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посредством видео-конференц-связи;</w:t>
            </w:r>
          </w:p>
          <w:p w14:paraId="85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 личном приеме;</w:t>
            </w:r>
          </w:p>
          <w:p w14:paraId="86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в ходе проведения профилактического мероприятия, контрольного мероприятия.</w:t>
            </w:r>
          </w:p>
          <w:p w14:paraId="87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Консультирование осуществляется по следующим вопросам:</w:t>
            </w:r>
          </w:p>
          <w:p w14:paraId="88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 наличие и (или) содержание обязательных требований;</w:t>
            </w:r>
          </w:p>
          <w:p w14:paraId="89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 периодичность и порядок проведения контрольных (надзорных) мероприятий;</w:t>
            </w:r>
          </w:p>
          <w:p w14:paraId="8A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 порядок выполнения обязательных требований.</w:t>
            </w:r>
          </w:p>
          <w:p w14:paraId="8B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  <w:p w14:paraId="8C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года, по мере поступления обращения контролируемого лица или его представителя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Служба</w:t>
            </w:r>
          </w:p>
        </w:tc>
      </w:tr>
      <w:tr>
        <w:tc>
          <w:tcPr>
            <w:tcW w:type="dxa" w:w="5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type="dxa" w:w="3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Профилактический визит</w:t>
            </w:r>
          </w:p>
        </w:tc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</w:t>
            </w:r>
          </w:p>
        </w:tc>
        <w:tc>
          <w:tcPr>
            <w:tcW w:type="dxa" w:w="28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Служба</w:t>
            </w:r>
          </w:p>
        </w:tc>
      </w:tr>
    </w:tbl>
    <w:p w14:paraId="93000000">
      <w:pPr>
        <w:spacing w:after="0" w:before="0" w:line="240" w:lineRule="auto"/>
        <w:ind w:firstLine="709" w:left="0"/>
        <w:contextualSpacing w:val="1"/>
        <w:jc w:val="both"/>
        <w:rPr>
          <w:sz w:val="28"/>
        </w:rPr>
      </w:pPr>
    </w:p>
    <w:p w14:paraId="94000000">
      <w:pPr>
        <w:spacing w:after="0" w:before="0" w:line="240" w:lineRule="auto"/>
        <w:ind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Раздел 4. Показатели результативности и эффективности </w:t>
      </w:r>
    </w:p>
    <w:p w14:paraId="95000000">
      <w:pPr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Программы профилактики</w:t>
      </w:r>
    </w:p>
    <w:p w14:paraId="96000000">
      <w:pPr>
        <w:spacing w:after="0" w:before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9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критериями оценки эффективности и результативности профилактических мероприятий являются:</w:t>
      </w:r>
    </w:p>
    <w:p w14:paraId="9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результативность деятельности Службы;</w:t>
      </w: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мероприятий по контролю, правах контролируемых лиц в ходе мероприятий по контролю;</w:t>
      </w:r>
    </w:p>
    <w:p w14:paraId="9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понятность обязательных требований контролируемым лицам;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вовлечение контролируемых лиц во взаимодействие о Службой, в том числе в рамках проводимых профилактических мероприятий.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Оценка эффективности и результативности профилактических мероприятий осуществляется в ходе анализа выполнения мероприятий Программы профилактики по следующим индикативным показателям:</w:t>
      </w:r>
    </w:p>
    <w:p w14:paraId="9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проведенных профилактических мероприятий, ед.;</w:t>
      </w:r>
    </w:p>
    <w:p w14:paraId="9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количество докладов по профилактике нарушений обязательных требований, размещенных на официальном сайте Службы, ед.;</w:t>
      </w:r>
    </w:p>
    <w:p w14:paraId="9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контролируемых лиц, в отношении которых проведены профилактические мероприятия, ед.;</w:t>
      </w:r>
    </w:p>
    <w:p w14:paraId="A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наличие на официальном сайте Службы актуального перечня актов, содержащих обязательные требования, соблюдение которых оценивается при проведении мероприятий по контролю;</w:t>
      </w:r>
    </w:p>
    <w:p w14:paraId="A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консультаций, оказанных контролируемым лицам по вопросам соблюдения обязательных требований, содержащихся в нормативных правовых актах, ед.;</w:t>
      </w:r>
    </w:p>
    <w:p w14:paraId="A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количество обобщений практики осуществления регионального государственного контроля (надзора), размещенных на официальном интернет-сайте Министерства, ед.;</w:t>
      </w:r>
    </w:p>
    <w:p w14:paraId="A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оценки эффективности и результативности профилактических мероприятий отражаются в докладе об итогах профилактической работы, проведенной Службой.</w:t>
      </w:r>
    </w:p>
    <w:p w14:paraId="A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Показатели эффективности и результативности </w:t>
      </w:r>
    </w:p>
    <w:p w14:paraId="A6000000">
      <w:pPr>
        <w:tabs>
          <w:tab w:leader="none" w:pos="709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профилактических мероприятий </w:t>
      </w:r>
    </w:p>
    <w:p w14:paraId="A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2024</w:t>
      </w:r>
      <w:r>
        <w:rPr>
          <w:rFonts w:ascii="Times New Roman" w:hAnsi="Times New Roman"/>
          <w:sz w:val="28"/>
        </w:rPr>
        <w:t xml:space="preserve"> году</w:t>
      </w:r>
    </w:p>
    <w:p w14:paraId="A8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Borders>
          <w:top w:color="CECECE" w:sz="6" w:val="single"/>
          <w:left w:color="CECECE" w:sz="6" w:val="single"/>
          <w:bottom w:color="CECECE" w:sz="6" w:val="single"/>
          <w:right w:color="CECECE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50"/>
        <w:gridCol w:w="6333"/>
        <w:gridCol w:w="2754"/>
      </w:tblGrid>
      <w:tr>
        <w:tc>
          <w:tcPr>
            <w:tcW w:type="dxa" w:w="550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9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14:paraId="AA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type="dxa" w:w="6333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type="dxa" w:w="275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</w:p>
        </w:tc>
      </w:tr>
      <w:tr>
        <w:tc>
          <w:tcPr>
            <w:tcW w:type="dxa" w:w="550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333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E000000">
            <w:pPr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подконтрольных субъектов, в отношении которых проведены профилактические мероприятия</w:t>
            </w:r>
          </w:p>
        </w:tc>
        <w:tc>
          <w:tcPr>
            <w:tcW w:type="dxa" w:w="275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A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Не менее 4</w:t>
            </w:r>
          </w:p>
        </w:tc>
      </w:tr>
      <w:tr>
        <w:tc>
          <w:tcPr>
            <w:tcW w:type="dxa" w:w="550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333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1000000">
            <w:pPr>
              <w:spacing w:after="0" w:before="0" w:line="240" w:lineRule="auto"/>
              <w:ind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Количество проведенных профилактических мероприятий</w:t>
            </w:r>
          </w:p>
        </w:tc>
        <w:tc>
          <w:tcPr>
            <w:tcW w:type="dxa" w:w="275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менее 8</w:t>
            </w:r>
          </w:p>
        </w:tc>
      </w:tr>
      <w:tr>
        <w:tc>
          <w:tcPr>
            <w:tcW w:type="dxa" w:w="550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333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4000000">
            <w:pPr>
              <w:spacing w:after="0" w:before="0" w:line="240" w:lineRule="auto"/>
              <w:ind/>
              <w:jc w:val="both"/>
              <w:rPr>
                <w:color w:val="000000"/>
                <w:sz w:val="22"/>
              </w:rPr>
            </w:pPr>
            <w:r>
              <w:rPr>
                <w:sz w:val="22"/>
              </w:rPr>
              <w:t>Полнота информации, размещаемая на официальном сайте Службы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type="dxa" w:w="275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</w:p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</w:t>
            </w:r>
          </w:p>
        </w:tc>
      </w:tr>
      <w:tr>
        <w:tc>
          <w:tcPr>
            <w:tcW w:type="dxa" w:w="550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6333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8000000">
            <w:pPr>
              <w:spacing w:after="0" w:before="0" w:line="240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Удовлетворенность контролируемых лиц и их представителями консультированием Службы</w:t>
            </w:r>
          </w:p>
        </w:tc>
        <w:tc>
          <w:tcPr>
            <w:tcW w:type="dxa" w:w="2754"/>
            <w:tcBorders>
              <w:top w:color="CECECE" w:sz="6" w:val="single"/>
              <w:left w:color="CECECE" w:sz="6" w:val="single"/>
              <w:bottom w:color="CECECE" w:sz="6" w:val="single"/>
              <w:right w:color="CECECE" w:sz="6" w:val="single"/>
            </w:tcBorders>
            <w:tcMar>
              <w:top w:type="dxa" w:w="60"/>
              <w:left w:type="dxa" w:w="75"/>
              <w:bottom w:type="dxa" w:w="60"/>
              <w:right w:type="dxa" w:w="75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100 %</w:t>
            </w:r>
          </w:p>
        </w:tc>
      </w:tr>
    </w:tbl>
    <w:p w14:paraId="BA000000">
      <w:pPr>
        <w:spacing w:after="0" w:line="240" w:lineRule="auto"/>
        <w:ind/>
        <w:jc w:val="right"/>
        <w:rPr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</w:t>
      </w: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footer"/>
    <w:basedOn w:val="Style_5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2_ch" w:type="character">
    <w:name w:val="footer"/>
    <w:basedOn w:val="Style_5_ch"/>
    <w:link w:val="Style_12"/>
    <w:rPr>
      <w:rFonts w:ascii="Times New Roman" w:hAnsi="Times New Roman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Balloon Text"/>
    <w:basedOn w:val="Style_5"/>
    <w:link w:val="Style_13_ch"/>
    <w:pPr>
      <w:spacing w:after="0" w:line="240" w:lineRule="auto"/>
      <w:ind/>
    </w:pPr>
    <w:rPr>
      <w:rFonts w:ascii="Segoe UI" w:hAnsi="Segoe UI"/>
      <w:sz w:val="18"/>
    </w:rPr>
  </w:style>
  <w:style w:styleId="Style_13_ch" w:type="character">
    <w:name w:val="Balloon Text"/>
    <w:basedOn w:val="Style_5_ch"/>
    <w:link w:val="Style_13"/>
    <w:rPr>
      <w:rFonts w:ascii="Segoe UI" w:hAnsi="Segoe UI"/>
      <w:sz w:val="18"/>
    </w:rPr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16_ch" w:type="character">
    <w:name w:val="heading 1"/>
    <w:link w:val="Style_16"/>
    <w:rPr>
      <w:rFonts w:ascii="XO Thames" w:hAnsi="XO Thames"/>
      <w:b w:val="1"/>
      <w:color w:val="000000"/>
      <w:sz w:val="32"/>
    </w:rPr>
  </w:style>
  <w:style w:styleId="Style_2" w:type="paragraph">
    <w:name w:val="ConsPlusTitle"/>
    <w:link w:val="Style_2_ch"/>
    <w:pPr>
      <w:widowControl w:val="0"/>
      <w:spacing w:after="0" w:line="240" w:lineRule="auto"/>
      <w:ind/>
    </w:pPr>
    <w:rPr>
      <w:rFonts w:ascii="Arial" w:hAnsi="Arial"/>
      <w:b w:val="1"/>
      <w:color w:val="000000"/>
      <w:sz w:val="20"/>
    </w:rPr>
  </w:style>
  <w:style w:styleId="Style_2_ch" w:type="character">
    <w:name w:val="ConsPlusTitle"/>
    <w:link w:val="Style_2"/>
    <w:rPr>
      <w:rFonts w:ascii="Arial" w:hAnsi="Arial"/>
      <w:b w:val="1"/>
      <w:color w:val="000000"/>
      <w:sz w:val="20"/>
    </w:rPr>
  </w:style>
  <w:style w:styleId="Style_6" w:type="paragraph">
    <w:name w:val="Hyperlink"/>
    <w:basedOn w:val="Style_17"/>
    <w:link w:val="Style_6_ch"/>
    <w:rPr>
      <w:color w:themeColor="hyperlink" w:val="0563C1"/>
      <w:u w:val="single"/>
    </w:rPr>
  </w:style>
  <w:style w:styleId="Style_6_ch" w:type="character">
    <w:name w:val="Hyperlink"/>
    <w:basedOn w:val="Style_17_ch"/>
    <w:link w:val="Style_6"/>
    <w:rPr>
      <w:color w:themeColor="hyperlink" w:val="0563C1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Plain Text"/>
    <w:basedOn w:val="Style_5"/>
    <w:link w:val="Style_20_ch"/>
    <w:pPr>
      <w:spacing w:after="0" w:line="240" w:lineRule="auto"/>
      <w:ind/>
    </w:pPr>
    <w:rPr>
      <w:rFonts w:ascii="Calibri" w:hAnsi="Calibri"/>
    </w:rPr>
  </w:style>
  <w:style w:styleId="Style_20_ch" w:type="character">
    <w:name w:val="Plain Text"/>
    <w:basedOn w:val="Style_5_ch"/>
    <w:link w:val="Style_20"/>
    <w:rPr>
      <w:rFonts w:ascii="Calibri" w:hAnsi="Calibri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2023-10-16T04:17:30Z</dcterms:modified>
</cp:coreProperties>
</file>