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СЛУЖБА ОХРАНЫ</w:t>
      </w:r>
    </w:p>
    <w:p w14:paraId="08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КУЛЬТУРНОГО НАСЛЕДИЯ</w:t>
      </w:r>
    </w:p>
    <w:p w14:paraId="09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rPr>
          <w:trHeight w:hRule="atLeast" w:val="2154"/>
          <w:hidden w:val="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Программы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профилактики рисков причинения вреда (ущерба) охраняемым законом ценностям при осуществлении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федерального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государственного контроля (надзора) за состоянием,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содержанием, сохранением, использованием, популяризацией и государственной охраной объектов культурного наследия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федерального </w:t>
            </w:r>
            <w:r>
              <w:rPr>
                <w:rFonts w:ascii="Times New Roman" w:hAnsi="Times New Roman"/>
                <w:b w:val="1"/>
                <w:sz w:val="28"/>
              </w:rPr>
              <w:t>значения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 тер</w:t>
            </w:r>
            <w:r>
              <w:rPr>
                <w:rFonts w:ascii="Times New Roman" w:hAnsi="Times New Roman"/>
                <w:b w:val="1"/>
                <w:sz w:val="28"/>
              </w:rPr>
              <w:t>ритории Камчатского края на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t xml:space="preserve">от 31.07.2020 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sz w:val="28"/>
        </w:rPr>
        <w:t xml:space="preserve">-ФЗ </w:t>
      </w:r>
      <w:r>
        <w:rPr>
          <w:rFonts w:ascii="Times New Roman" w:hAnsi="Times New Roman"/>
          <w:sz w:val="28"/>
        </w:rPr>
        <w:t>«О государственном контроле (надзоре) и муниципальном ко</w:t>
      </w:r>
      <w:r>
        <w:rPr>
          <w:rFonts w:ascii="Times New Roman" w:hAnsi="Times New Roman"/>
          <w:sz w:val="28"/>
        </w:rPr>
        <w:t xml:space="preserve">нтроле в Российской Федерации»,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25.06.2021</w:t>
      </w:r>
      <w:r>
        <w:rPr>
          <w:rFonts w:ascii="Times New Roman" w:hAnsi="Times New Roman"/>
          <w:sz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и постановлением</w:t>
      </w:r>
      <w:r>
        <w:rPr>
          <w:rFonts w:ascii="Times New Roman" w:hAnsi="Times New Roman"/>
          <w:sz w:val="28"/>
        </w:rPr>
        <w:t xml:space="preserve"> Правительст</w:t>
      </w:r>
      <w:r>
        <w:rPr>
          <w:rFonts w:ascii="Times New Roman" w:hAnsi="Times New Roman"/>
          <w:sz w:val="28"/>
        </w:rPr>
        <w:t>ва Российской Федерации от 10.0</w:t>
      </w:r>
      <w:r>
        <w:rPr>
          <w:rFonts w:ascii="Times New Roman" w:hAnsi="Times New Roman"/>
          <w:sz w:val="28"/>
        </w:rPr>
        <w:t>3.2022 № 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z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</w:t>
      </w:r>
      <w:r>
        <w:rPr>
          <w:rFonts w:ascii="Times New Roman" w:hAnsi="Times New Roman"/>
          <w:sz w:val="28"/>
        </w:rPr>
        <w:t xml:space="preserve">й охраной объектов культурного </w:t>
      </w:r>
      <w:r>
        <w:rPr>
          <w:rFonts w:ascii="Times New Roman" w:hAnsi="Times New Roman"/>
          <w:sz w:val="28"/>
        </w:rPr>
        <w:t>наследия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значения, объектов культурного наследия местного (муниципального) </w:t>
      </w:r>
      <w:r>
        <w:rPr>
          <w:rFonts w:ascii="Times New Roman" w:hAnsi="Times New Roman"/>
          <w:sz w:val="28"/>
        </w:rPr>
        <w:t>значения, выявленных объектов культурного наследия на тер</w:t>
      </w:r>
      <w:r>
        <w:rPr>
          <w:rFonts w:ascii="Times New Roman" w:hAnsi="Times New Roman"/>
          <w:sz w:val="28"/>
        </w:rPr>
        <w:t>ритории Камчатского края 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Программа профилактики) согласно приложению</w:t>
      </w:r>
      <w:r>
        <w:rPr>
          <w:rFonts w:ascii="Times New Roman" w:hAnsi="Times New Roman"/>
          <w:b w:val="0"/>
          <w:color w:val="252525"/>
          <w:sz w:val="28"/>
          <w:highlight w:val="white"/>
        </w:rPr>
        <w:t>.</w:t>
      </w:r>
    </w:p>
    <w:p w14:paraId="1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2. </w:t>
      </w:r>
      <w:r>
        <w:rPr>
          <w:rStyle w:val="Style_5_ch"/>
          <w:rFonts w:ascii="Times New Roman" w:hAnsi="Times New Roman"/>
          <w:sz w:val="28"/>
        </w:rPr>
        <w:t>Назначить ответственным должностным лицом за организацию и проведение профилактических мероприятий в соответствии с Программой профилактики советника Службы охраны объектов культурного наследия Камчатского края</w:t>
      </w:r>
      <w:r>
        <w:rPr>
          <w:rStyle w:val="Style_5_ch"/>
          <w:rFonts w:ascii="Times New Roman" w:hAnsi="Times New Roman"/>
          <w:sz w:val="28"/>
        </w:rPr>
        <w:t xml:space="preserve"> (</w:t>
      </w:r>
      <w:r>
        <w:rPr>
          <w:rStyle w:val="Style_5_ch"/>
          <w:rFonts w:ascii="Times New Roman" w:hAnsi="Times New Roman"/>
          <w:sz w:val="28"/>
        </w:rPr>
        <w:t xml:space="preserve">далее – Служба) Приходько Ю.К., </w:t>
      </w:r>
      <w:r>
        <w:rPr>
          <w:rStyle w:val="Style_5_ch"/>
          <w:rFonts w:ascii="Times New Roman" w:hAnsi="Times New Roman"/>
          <w:sz w:val="28"/>
        </w:rPr>
        <w:t>а в ее отсутствие – главного специалиста Службы Родину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Е.В</w:t>
      </w:r>
      <w:r>
        <w:rPr>
          <w:rStyle w:val="Style_5_ch"/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3</w:t>
      </w:r>
      <w:r>
        <w:rPr>
          <w:rStyle w:val="Style_5_ch"/>
          <w:rFonts w:ascii="Times New Roman" w:hAnsi="Times New Roman"/>
          <w:sz w:val="28"/>
        </w:rPr>
        <w:t xml:space="preserve">. </w:t>
      </w:r>
      <w:r>
        <w:rPr>
          <w:rStyle w:val="Style_5_ch"/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уководитель Службы охраны объектов культурного наследия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И.Н. Заиграева</w:t>
            </w:r>
          </w:p>
        </w:tc>
      </w:tr>
    </w:tbl>
    <w:p w14:paraId="20000000">
      <w:pPr>
        <w:spacing w:after="0" w:line="360" w:lineRule="auto"/>
        <w:ind/>
        <w:rPr>
          <w:sz w:val="28"/>
        </w:rPr>
      </w:pPr>
    </w:p>
    <w:p w14:paraId="21000000">
      <w:pPr>
        <w:spacing w:after="0" w:line="360" w:lineRule="auto"/>
        <w:ind/>
        <w:rPr>
          <w:sz w:val="28"/>
        </w:rPr>
      </w:pPr>
    </w:p>
    <w:p w14:paraId="22000000">
      <w:pPr>
        <w:spacing w:after="0" w:line="360" w:lineRule="auto"/>
        <w:ind/>
        <w:rPr>
          <w:sz w:val="28"/>
        </w:rPr>
      </w:pPr>
    </w:p>
    <w:p w14:paraId="23000000">
      <w:pPr>
        <w:spacing w:after="0" w:line="360" w:lineRule="auto"/>
        <w:ind/>
        <w:rPr>
          <w:sz w:val="28"/>
        </w:rPr>
      </w:pPr>
    </w:p>
    <w:p w14:paraId="24000000">
      <w:pPr>
        <w:spacing w:after="0" w:line="360" w:lineRule="auto"/>
        <w:ind/>
        <w:rPr>
          <w:sz w:val="28"/>
        </w:rPr>
      </w:pPr>
    </w:p>
    <w:p w14:paraId="25000000">
      <w:pPr>
        <w:spacing w:after="0" w:line="360" w:lineRule="auto"/>
        <w:ind/>
        <w:rPr>
          <w:sz w:val="28"/>
        </w:rPr>
      </w:pPr>
    </w:p>
    <w:p w14:paraId="26000000">
      <w:pPr>
        <w:spacing w:after="0" w:line="360" w:lineRule="auto"/>
        <w:ind/>
        <w:rPr>
          <w:sz w:val="28"/>
        </w:rPr>
      </w:pPr>
    </w:p>
    <w:p w14:paraId="27000000">
      <w:pPr>
        <w:spacing w:after="0" w:line="360" w:lineRule="auto"/>
        <w:ind/>
        <w:rPr>
          <w:sz w:val="28"/>
        </w:rPr>
      </w:pPr>
    </w:p>
    <w:p w14:paraId="28000000">
      <w:pPr>
        <w:spacing w:after="0" w:line="360" w:lineRule="auto"/>
        <w:ind/>
        <w:rPr>
          <w:sz w:val="28"/>
        </w:rPr>
      </w:pPr>
    </w:p>
    <w:p w14:paraId="29000000">
      <w:pPr>
        <w:spacing w:after="0" w:line="360" w:lineRule="auto"/>
        <w:ind/>
        <w:rPr>
          <w:sz w:val="28"/>
        </w:rPr>
      </w:pPr>
    </w:p>
    <w:p w14:paraId="2A000000">
      <w:pPr>
        <w:spacing w:after="0" w:line="360" w:lineRule="auto"/>
        <w:ind/>
        <w:rPr>
          <w:sz w:val="28"/>
        </w:rPr>
      </w:pPr>
    </w:p>
    <w:p w14:paraId="2B000000">
      <w:pPr>
        <w:spacing w:after="0" w:line="360" w:lineRule="auto"/>
        <w:ind/>
        <w:rPr>
          <w:sz w:val="28"/>
        </w:rPr>
      </w:pPr>
    </w:p>
    <w:p w14:paraId="2C000000">
      <w:pPr>
        <w:spacing w:after="0" w:line="360" w:lineRule="auto"/>
        <w:ind/>
        <w:rPr>
          <w:sz w:val="28"/>
        </w:rPr>
      </w:pPr>
    </w:p>
    <w:p w14:paraId="2D000000">
      <w:pPr>
        <w:spacing w:after="0" w:line="360" w:lineRule="auto"/>
        <w:ind/>
        <w:rPr>
          <w:sz w:val="28"/>
        </w:rPr>
      </w:pPr>
    </w:p>
    <w:p w14:paraId="2E000000">
      <w:pPr>
        <w:spacing w:after="0" w:line="360" w:lineRule="auto"/>
        <w:ind/>
        <w:rPr>
          <w:sz w:val="28"/>
        </w:rPr>
      </w:pPr>
    </w:p>
    <w:p w14:paraId="2F000000">
      <w:pPr>
        <w:spacing w:after="0" w:line="360" w:lineRule="auto"/>
        <w:ind/>
        <w:rPr>
          <w:sz w:val="28"/>
        </w:rPr>
      </w:pPr>
    </w:p>
    <w:p w14:paraId="30000000">
      <w:pPr>
        <w:spacing w:after="0" w:line="360" w:lineRule="auto"/>
        <w:ind/>
        <w:rPr>
          <w:sz w:val="28"/>
        </w:rPr>
      </w:pPr>
    </w:p>
    <w:p w14:paraId="31000000">
      <w:pPr>
        <w:spacing w:after="0" w:line="360" w:lineRule="auto"/>
        <w:ind/>
        <w:rPr>
          <w:sz w:val="28"/>
        </w:rPr>
      </w:pPr>
    </w:p>
    <w:p w14:paraId="32000000">
      <w:pPr>
        <w:spacing w:after="0" w:line="360" w:lineRule="auto"/>
        <w:ind/>
        <w:rPr>
          <w:sz w:val="28"/>
        </w:rPr>
      </w:pPr>
    </w:p>
    <w:p w14:paraId="33000000">
      <w:pPr>
        <w:spacing w:after="0" w:line="360" w:lineRule="auto"/>
        <w:ind/>
        <w:rPr>
          <w:sz w:val="28"/>
        </w:rPr>
      </w:pPr>
    </w:p>
    <w:p w14:paraId="34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приказу</w:t>
      </w:r>
    </w:p>
    <w:p w14:paraId="35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Службы охраны объектов культурного</w:t>
      </w:r>
    </w:p>
    <w:p w14:paraId="36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наследия </w:t>
      </w:r>
      <w:r>
        <w:rPr>
          <w:rFonts w:ascii="Times New Roman" w:hAnsi="Times New Roman"/>
          <w:sz w:val="28"/>
        </w:rPr>
        <w:t xml:space="preserve">Камчатского края </w:t>
      </w:r>
    </w:p>
    <w:p w14:paraId="37000000">
      <w:pPr>
        <w:spacing w:after="0" w:line="240" w:lineRule="auto"/>
        <w:ind/>
        <w:jc w:val="right"/>
        <w:rPr>
          <w:sz w:val="28"/>
        </w:rPr>
      </w:pPr>
    </w:p>
    <w:p w14:paraId="38000000">
      <w:pPr>
        <w:spacing w:after="0" w:line="240" w:lineRule="auto"/>
        <w:ind/>
        <w:jc w:val="right"/>
        <w:rPr>
          <w:sz w:val="28"/>
        </w:rPr>
      </w:pPr>
    </w:p>
    <w:p w14:paraId="39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t>государственного контроля (надзора) за состоянием,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</w:t>
      </w:r>
      <w:r>
        <w:rPr>
          <w:rFonts w:ascii="Times New Roman" w:hAnsi="Times New Roman"/>
          <w:sz w:val="28"/>
        </w:rPr>
        <w:t xml:space="preserve">й охраной объектов культурного </w:t>
      </w:r>
      <w:r>
        <w:rPr>
          <w:rFonts w:ascii="Times New Roman" w:hAnsi="Times New Roman"/>
          <w:sz w:val="28"/>
        </w:rPr>
        <w:t>наследия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значения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</w:t>
      </w:r>
      <w:r>
        <w:rPr>
          <w:rFonts w:ascii="Times New Roman" w:hAnsi="Times New Roman"/>
          <w:sz w:val="28"/>
        </w:rPr>
        <w:t>ритории Камчатского края на 20234</w:t>
      </w:r>
      <w:r>
        <w:rPr>
          <w:rFonts w:ascii="Times New Roman" w:hAnsi="Times New Roman"/>
          <w:sz w:val="28"/>
        </w:rPr>
        <w:t xml:space="preserve">год </w:t>
      </w:r>
    </w:p>
    <w:p w14:paraId="3B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11 Федерального закона от 25.06.2002 № 73-ФЗ «</w:t>
      </w:r>
      <w:r>
        <w:rPr>
          <w:rFonts w:ascii="Times New Roman" w:hAnsi="Times New Roman"/>
          <w:sz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</w:rPr>
        <w:t>» (далее – Закон 73-ФЗ), Положением о Службе, утвержденным постановление</w:t>
      </w:r>
      <w:r>
        <w:rPr>
          <w:rFonts w:ascii="Times New Roman" w:hAnsi="Times New Roman"/>
          <w:sz w:val="28"/>
        </w:rPr>
        <w:t>м П</w:t>
      </w:r>
      <w:r>
        <w:rPr>
          <w:rFonts w:ascii="Times New Roman" w:hAnsi="Times New Roman"/>
          <w:sz w:val="28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 31.03.2023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№ 184-П</w:t>
      </w:r>
      <w:r>
        <w:rPr>
          <w:rFonts w:ascii="Times New Roman" w:hAnsi="Times New Roman"/>
          <w:sz w:val="28"/>
        </w:rPr>
        <w:t xml:space="preserve"> «Об утверждении Положения о Службе охраны объектов культурного наследия Камчатского края» Служба 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 xml:space="preserve">государственный контроль (надзор) </w:t>
      </w:r>
      <w:r>
        <w:rPr>
          <w:rFonts w:ascii="Times New Roman" w:hAnsi="Times New Roman"/>
          <w:sz w:val="28"/>
        </w:rPr>
        <w:t>за состоянием, содержанием, сохранением, использованием, популяризацией и государственной охраной объектов культурного наследия значения</w:t>
      </w:r>
      <w:r>
        <w:rPr>
          <w:rFonts w:ascii="Times New Roman" w:hAnsi="Times New Roman"/>
          <w:sz w:val="28"/>
        </w:rPr>
        <w:t xml:space="preserve"> федерального значения</w:t>
      </w:r>
      <w:r>
        <w:rPr>
          <w:rFonts w:ascii="Times New Roman" w:hAnsi="Times New Roman"/>
          <w:sz w:val="28"/>
        </w:rPr>
        <w:t xml:space="preserve"> в Камчатском крае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осударственный контроль (надзор</w:t>
      </w:r>
      <w:r>
        <w:rPr>
          <w:rFonts w:ascii="Times New Roman" w:hAnsi="Times New Roman"/>
          <w:sz w:val="28"/>
        </w:rPr>
        <w:t xml:space="preserve">).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t xml:space="preserve">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</w:t>
      </w:r>
      <w:r>
        <w:rPr>
          <w:rFonts w:ascii="Times New Roman" w:hAnsi="Times New Roman"/>
          <w:sz w:val="28"/>
        </w:rPr>
        <w:t xml:space="preserve">федерального значения </w:t>
      </w:r>
      <w:r>
        <w:rPr>
          <w:rFonts w:ascii="Times New Roman" w:hAnsi="Times New Roman"/>
          <w:sz w:val="28"/>
        </w:rPr>
        <w:t>на тер</w:t>
      </w:r>
      <w:r>
        <w:rPr>
          <w:rFonts w:ascii="Times New Roman" w:hAnsi="Times New Roman"/>
          <w:sz w:val="28"/>
        </w:rPr>
        <w:t>ритории Камчатского края на 2024</w:t>
      </w:r>
      <w:r>
        <w:rPr>
          <w:rFonts w:ascii="Times New Roman" w:hAnsi="Times New Roman"/>
          <w:sz w:val="28"/>
        </w:rPr>
        <w:t xml:space="preserve"> год (далее – Программа профилактика) разработана во исполнение </w:t>
      </w:r>
      <w:r>
        <w:rPr>
          <w:rStyle w:val="Style_6_ch"/>
          <w:rFonts w:ascii="Times New Roman" w:hAnsi="Times New Roman"/>
          <w:color w:val="000000"/>
          <w:sz w:val="28"/>
        </w:rPr>
        <w:t>статьи 44</w:t>
      </w:r>
      <w:r>
        <w:rPr>
          <w:rFonts w:ascii="Times New Roman" w:hAnsi="Times New Roman"/>
          <w:sz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Закон 248-ФЗ)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>, а также постановления</w:t>
      </w:r>
      <w:r>
        <w:rPr>
          <w:rFonts w:ascii="Times New Roman" w:hAnsi="Times New Roman"/>
          <w:sz w:val="28"/>
        </w:rPr>
        <w:t xml:space="preserve"> Правительст</w:t>
      </w:r>
      <w:r>
        <w:rPr>
          <w:rFonts w:ascii="Times New Roman" w:hAnsi="Times New Roman"/>
          <w:sz w:val="28"/>
        </w:rPr>
        <w:t>ва Российской Федерации от 10.0</w:t>
      </w:r>
      <w:r>
        <w:rPr>
          <w:rFonts w:ascii="Times New Roman" w:hAnsi="Times New Roman"/>
          <w:sz w:val="28"/>
        </w:rPr>
        <w:t>3.2022 № 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14:paraId="3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За период с 01.01.2024 по 30.09.2024 Службой б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ез взаимодействия с контролируемым лицом проведено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1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контрольное (надзорное) мероприятие (далее - контрольное (надзорное) мероприятие без взаим</w:t>
      </w:r>
      <w:r>
        <w:rPr>
          <w:sz w:val="28"/>
        </w:rPr>
        <w:t>одействия),</w:t>
      </w:r>
      <w:r>
        <w:rPr>
          <w:sz w:val="28"/>
        </w:rPr>
        <w:t xml:space="preserve"> по результатам которо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го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было выявлено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нарушение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обязательных требований законодательства в сфере охраны объектов культурного наследия (далее – обязательные требования). </w:t>
      </w:r>
    </w:p>
    <w:p w14:paraId="4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С целью предотвращения нарушений контролируемыми лицами обязательных требований Служба провела следующие профилактические мероприятия:</w:t>
      </w:r>
    </w:p>
    <w:p w14:paraId="4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1)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информирование: регулярное размещение сведений на официальном сайте Службы, а также в социальных аккаунтах Службы.</w:t>
      </w:r>
    </w:p>
    <w:p w14:paraId="4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2) консультирование: по телефону, на личном приеме, в ходе проведения профилактического мероприятия.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В соответствии с 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положениями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статьи 47.6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Закона № 73-ФЗ Службой ведется работа по оформлению охранных обязательств собственника или иного законного владельца объекта культурного наследия, включенного в реестр (далее – охранные обязательства).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Охранное обязательство является документом, содержащим в себе сведения об особенностях объекта культурного наследия, а также перечень обязательных требований по содержанию, сохранению, использованию, популяризации и государственной охране такого объекта.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Охранное обязательство направляется всем собственникам (иным законным владельцам) объекта культурного наследия, а в филиал ФГБУ «Федеральная кадастровая палата Росреестра» по Камчатскому краю (далее – орган регистрации прав) для регистрации ограничений (обременений) прав в Едином государственном реестре недвижимости (</w:t>
      </w:r>
      <w:r>
        <w:rPr>
          <w:rStyle w:val="Style_5_ch"/>
          <w:rFonts w:ascii="Times New Roman" w:hAnsi="Times New Roman"/>
          <w:color w:themeColor="text1" w:val="000000"/>
          <w:sz w:val="28"/>
        </w:rPr>
        <w:t>статья 47.1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Закона № 73-ФЗ).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В силу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пункта 7 статьи 48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Закона № 73-ФЗ договоры о передаче прав собственности (владения, пользования) на объект культурного наследия должны включать существенное условие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о возникновении у нового правообладателя обязанностей по исполнению охранного обязательства. Копия охранного обязательст</w:t>
      </w:r>
      <w:r>
        <w:rPr>
          <w:rStyle w:val="Style_5_ch"/>
          <w:rFonts w:ascii="Times New Roman" w:hAnsi="Times New Roman"/>
          <w:sz w:val="28"/>
        </w:rPr>
        <w:t>ва должна являться неотъемле</w:t>
      </w:r>
      <w:r>
        <w:rPr>
          <w:rStyle w:val="Style_5_ch"/>
          <w:rFonts w:ascii="Times New Roman" w:hAnsi="Times New Roman"/>
          <w:sz w:val="28"/>
        </w:rPr>
        <w:t>мой частью таких договоров.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С учетом изложенного работа по оформлению охранных обязательств и направлению их в адрес собственников (иных законных владельцев) объектов культурного наследия, а также в орган регистрации прав, отнесена настоящей программой к профилактическим мероприятиям, так как обеспечивает адресное информирование подконтрольных субъектов о специальном статусе объектов культурного наследия и установленных в отношении них обязательных требований.</w:t>
      </w:r>
    </w:p>
    <w:p w14:paraId="4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Кроме того, охранные обязательства размещаются на официальном сайте Службы в информационной-телекоммуникационной сети Интернет в разделе «Объекты культурного наследия». 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В результате реализации программы ожидается повышение уровня информированности подконтрольных суб</w:t>
      </w:r>
      <w:r>
        <w:rPr>
          <w:rFonts w:ascii="Times New Roman" w:hAnsi="Times New Roman"/>
          <w:sz w:val="28"/>
        </w:rPr>
        <w:t>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 риском при реализации Программы профилактики является различное толкование содержания обязательных требований подконтрольными субъектами, что может привести к нарушению ими обязательных требований законодательства в области охраны объектов культурного наследия.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Программы </w:t>
      </w:r>
    </w:p>
    <w:p w14:paraId="4D000000">
      <w:pPr>
        <w:spacing w:after="0" w:before="0" w:line="240" w:lineRule="auto"/>
        <w:ind w:firstLine="709" w:left="0"/>
        <w:contextualSpacing w:val="1"/>
        <w:jc w:val="center"/>
        <w:rPr>
          <w:sz w:val="28"/>
        </w:rPr>
      </w:pP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Программы профилактики:</w:t>
      </w:r>
    </w:p>
    <w:p w14:paraId="4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5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Задачи Программы профилактики: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5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14:paraId="5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14:paraId="58000000">
      <w:pPr>
        <w:spacing w:after="0" w:before="0" w:line="240" w:lineRule="auto"/>
        <w:ind/>
        <w:contextualSpacing w:val="1"/>
        <w:rPr>
          <w:sz w:val="28"/>
        </w:rPr>
      </w:pPr>
    </w:p>
    <w:p w14:paraId="59000000">
      <w:pPr>
        <w:spacing w:after="0" w:before="0" w:line="240" w:lineRule="auto"/>
        <w:ind/>
        <w:contextualSpacing w:val="1"/>
        <w:rPr>
          <w:sz w:val="28"/>
        </w:rPr>
      </w:pPr>
    </w:p>
    <w:p w14:paraId="5A000000">
      <w:pPr>
        <w:spacing w:after="0" w:before="0" w:line="240" w:lineRule="auto"/>
        <w:ind/>
        <w:contextualSpacing w:val="1"/>
        <w:rPr>
          <w:sz w:val="28"/>
        </w:rPr>
      </w:pPr>
    </w:p>
    <w:p w14:paraId="5B000000">
      <w:pPr>
        <w:spacing w:after="0" w:before="0" w:line="240" w:lineRule="auto"/>
        <w:ind/>
        <w:contextualSpacing w:val="1"/>
        <w:rPr>
          <w:sz w:val="28"/>
        </w:rPr>
      </w:pPr>
    </w:p>
    <w:p w14:paraId="5C000000">
      <w:pPr>
        <w:spacing w:after="0" w:before="0" w:line="240" w:lineRule="auto"/>
        <w:ind/>
        <w:contextualSpacing w:val="1"/>
        <w:rPr>
          <w:sz w:val="28"/>
        </w:rPr>
      </w:pPr>
    </w:p>
    <w:p w14:paraId="5D000000">
      <w:pPr>
        <w:spacing w:after="0" w:before="0" w:line="240" w:lineRule="auto"/>
        <w:ind/>
        <w:contextualSpacing w:val="1"/>
        <w:rPr>
          <w:sz w:val="28"/>
        </w:rPr>
      </w:pPr>
    </w:p>
    <w:p w14:paraId="5E000000">
      <w:pPr>
        <w:spacing w:after="0" w:before="0" w:line="240" w:lineRule="auto"/>
        <w:ind/>
        <w:contextualSpacing w:val="1"/>
        <w:rPr>
          <w:sz w:val="28"/>
        </w:rPr>
      </w:pPr>
    </w:p>
    <w:p w14:paraId="5F000000">
      <w:pPr>
        <w:spacing w:after="0" w:before="0" w:line="240" w:lineRule="auto"/>
        <w:ind/>
        <w:contextualSpacing w:val="1"/>
        <w:rPr>
          <w:sz w:val="28"/>
        </w:rPr>
      </w:pPr>
    </w:p>
    <w:p w14:paraId="60000000">
      <w:pPr>
        <w:spacing w:after="0" w:before="0" w:line="240" w:lineRule="auto"/>
        <w:ind/>
        <w:contextualSpacing w:val="1"/>
        <w:rPr>
          <w:sz w:val="28"/>
        </w:rPr>
      </w:pPr>
    </w:p>
    <w:p w14:paraId="61000000">
      <w:pPr>
        <w:spacing w:after="0" w:before="0" w:line="240" w:lineRule="auto"/>
        <w:ind/>
        <w:contextualSpacing w:val="1"/>
        <w:rPr>
          <w:sz w:val="28"/>
        </w:rPr>
      </w:pPr>
    </w:p>
    <w:p w14:paraId="62000000">
      <w:pPr>
        <w:spacing w:after="0" w:before="0" w:line="240" w:lineRule="auto"/>
        <w:ind/>
        <w:contextualSpacing w:val="1"/>
        <w:rPr>
          <w:sz w:val="28"/>
        </w:rPr>
      </w:pPr>
    </w:p>
    <w:p w14:paraId="63000000">
      <w:pPr>
        <w:spacing w:after="0" w:before="0" w:line="240" w:lineRule="auto"/>
        <w:ind/>
        <w:contextualSpacing w:val="1"/>
        <w:rPr>
          <w:sz w:val="28"/>
        </w:rPr>
      </w:pPr>
    </w:p>
    <w:p w14:paraId="64000000">
      <w:pPr>
        <w:spacing w:after="0" w:before="0" w:line="240" w:lineRule="auto"/>
        <w:ind/>
        <w:contextualSpacing w:val="1"/>
        <w:rPr>
          <w:sz w:val="28"/>
        </w:rPr>
      </w:pPr>
    </w:p>
    <w:p w14:paraId="65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sz w:val="28"/>
        </w:rPr>
        <w:t xml:space="preserve">Раздел 3. Перечень профилактических мероприятий, сроки и </w:t>
      </w:r>
    </w:p>
    <w:p w14:paraId="66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sz w:val="28"/>
        </w:rPr>
        <w:t>периодичность их проведения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7"/>
        <w:gridCol w:w="3516"/>
        <w:gridCol w:w="3057"/>
        <w:gridCol w:w="3025"/>
      </w:tblGrid>
      <w:tr>
        <w:trPr>
          <w:trHeight w:hRule="atLeast" w:val="776"/>
        </w:trP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мероприятия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исполнение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3610"/>
        </w:trP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Информирование</w:t>
            </w:r>
            <w:r>
              <w:rPr>
                <w:rFonts w:ascii="Times New Roman" w:hAnsi="Times New Roman"/>
                <w:spacing w:val="-6"/>
              </w:rPr>
              <w:t>:</w:t>
            </w: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размещение сведений в специализированном разделе на официальном сайте Службы;</w:t>
            </w: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ведение на официальном сайте Службы раздела «Часто задаваемые вопросы»;</w:t>
            </w: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интервью руководителя или инспектора;</w:t>
            </w:r>
          </w:p>
          <w:p w14:paraId="7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проведение семинаров, «круглых столов».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  <w:p w14:paraId="7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До 1 марта года, следующего за отчетным</w:t>
            </w:r>
          </w:p>
          <w:p w14:paraId="7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информации (сведения)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Служба 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Консультирование:</w:t>
            </w:r>
          </w:p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 телефону;</w:t>
            </w:r>
          </w:p>
          <w:p w14:paraId="8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видео-конференц-связи;</w:t>
            </w:r>
          </w:p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личном приеме;</w:t>
            </w:r>
          </w:p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 ходе проведения профилактического мероприятия, контрольного мероприятия.</w:t>
            </w:r>
          </w:p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 по следующим вопросам:</w:t>
            </w: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наличие и (или) содержание обязательных требований;</w:t>
            </w: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периодичность и порядок проведения контрольных (надзорных) мероприятий;</w:t>
            </w:r>
          </w:p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порядок выполнения обязательных требований.</w:t>
            </w:r>
          </w:p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года, по мере поступления обращения контролируемого лица или его представителя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</w:tbl>
    <w:p w14:paraId="94000000">
      <w:pPr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95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Раздел 4. Показатели результативности и эффективности </w:t>
      </w:r>
    </w:p>
    <w:p w14:paraId="96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Программы профилактики</w:t>
      </w:r>
    </w:p>
    <w:p w14:paraId="97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Основными критериями оценки эффективности и результативности профилактических мероприятий являются: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результативность деятельности Службы;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понятность обязательных требований контролируемым лицам;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вовлечение контролируемых лиц во взаимодействие о Службой, в том числе в рамках проводимых профилактических мероприятий.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количество проведенных профилактических мероприятий, ед.;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 количество докладов по профилактике нарушений обязательных требований, размещенных на официальном сайте Службы, ед.;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количество контролируемых лиц, в отношении которых проведены профилактические мероприятия, ед.;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наличие на официальном сайте Службы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- количество обобщений практики осуществления </w:t>
      </w:r>
      <w:r>
        <w:rPr>
          <w:rStyle w:val="Style_5_ch"/>
          <w:rFonts w:ascii="Times New Roman" w:hAnsi="Times New Roman"/>
          <w:sz w:val="28"/>
        </w:rPr>
        <w:t xml:space="preserve">федерального </w:t>
      </w:r>
      <w:r>
        <w:rPr>
          <w:rStyle w:val="Style_5_ch"/>
          <w:rFonts w:ascii="Times New Roman" w:hAnsi="Times New Roman"/>
          <w:sz w:val="28"/>
        </w:rPr>
        <w:t>государственного контроля (надзора), размещенных на официальном интернет-сайте Министерства, ед.;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Службой.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Показатели эффективности и результативности </w:t>
      </w:r>
    </w:p>
    <w:p w14:paraId="A9000000">
      <w:pPr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профилактических мероприятий </w:t>
      </w:r>
    </w:p>
    <w:p w14:paraId="A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в 2024</w:t>
      </w:r>
      <w:r>
        <w:rPr>
          <w:rStyle w:val="Style_5_ch"/>
          <w:rFonts w:ascii="Times New Roman" w:hAnsi="Times New Roman"/>
          <w:sz w:val="28"/>
        </w:rPr>
        <w:t xml:space="preserve"> году</w:t>
      </w:r>
    </w:p>
    <w:p w14:paraId="AB000000">
      <w:pPr>
        <w:spacing w:after="0" w:line="240" w:lineRule="auto"/>
        <w:ind w:firstLine="709" w:left="0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82"/>
        <w:gridCol w:w="6707"/>
        <w:gridCol w:w="2917"/>
      </w:tblGrid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6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менее 2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400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проведенных профилактических мероприятий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7000000">
            <w:pPr>
              <w:spacing w:after="0" w:before="0" w:line="240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Полнота информации, размещаемая на официальном сайте Службы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B000000">
            <w:pPr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Удовлетворенность контролируемых лиц и их представителями консультированием Службы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</w:tbl>
    <w:p w14:paraId="BD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134" w:right="70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5_ch"/>
    <w:link w:val="Style_8"/>
    <w:rPr>
      <w:rFonts w:ascii="Segoe UI" w:hAnsi="Segoe UI"/>
      <w:sz w:val="1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5_ch"/>
    <w:link w:val="Style_13"/>
    <w:rPr>
      <w:rFonts w:ascii="Times New Roman" w:hAnsi="Times New Roman"/>
      <w:sz w:val="28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z w:val="32"/>
    </w:rPr>
  </w:style>
  <w:style w:styleId="Style_6" w:type="paragraph">
    <w:name w:val="Hyperlink"/>
    <w:basedOn w:val="Style_18"/>
    <w:link w:val="Style_6_ch"/>
    <w:rPr>
      <w:color w:themeColor="hyperlink" w:val="0563C1"/>
      <w:u w:val="single"/>
    </w:rPr>
  </w:style>
  <w:style w:styleId="Style_6_ch" w:type="character">
    <w:name w:val="Hyperlink"/>
    <w:basedOn w:val="Style_18_ch"/>
    <w:link w:val="Style_6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2_ch" w:type="character">
    <w:name w:val="ConsPlusTitle"/>
    <w:link w:val="Style_2"/>
    <w:rPr>
      <w:rFonts w:ascii="Arial" w:hAnsi="Arial"/>
      <w:b w:val="1"/>
      <w:color w:val="000000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2023-10-16T04:17:26Z</dcterms:modified>
</cp:coreProperties>
</file>