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мая 2024 года</w:t>
            </w:r>
          </w:p>
        </w:tc>
        <w:tc>
          <w:tcPr>
            <w:tcW w:w="5103" w:type="dxa"/>
            <w:tcBorders>
              <w:top w:val="nil"/>
              <w:left w:val="nil"/>
              <w:bottom w:val="nil"/>
              <w:right w:val="nil"/>
            </w:tcBorders>
          </w:tcPr>
          <w:p>
            <w:pPr>
              <w:pStyle w:val="0"/>
              <w:jc w:val="right"/>
            </w:pPr>
            <w:r>
              <w:rPr>
                <w:sz w:val="20"/>
              </w:rPr>
              <w:t xml:space="preserve">N 309</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НАЦИОНАЛЬНЫХ ЦЕЛЯХ</w:t>
      </w:r>
    </w:p>
    <w:p>
      <w:pPr>
        <w:pStyle w:val="2"/>
        <w:jc w:val="center"/>
      </w:pPr>
      <w:r>
        <w:rPr>
          <w:sz w:val="20"/>
        </w:rPr>
        <w:t xml:space="preserve">РАЗВИТИЯ РОССИЙСКОЙ ФЕДЕРАЦИИ НА ПЕРИОД ДО 2030 ГОДА</w:t>
      </w:r>
    </w:p>
    <w:p>
      <w:pPr>
        <w:pStyle w:val="2"/>
        <w:jc w:val="center"/>
      </w:pPr>
      <w:r>
        <w:rPr>
          <w:sz w:val="20"/>
        </w:rPr>
        <w:t xml:space="preserve">И НА ПЕРСПЕКТИВУ ДО 2036 ГОДА</w:t>
      </w:r>
    </w:p>
    <w:p>
      <w:pPr>
        <w:pStyle w:val="0"/>
        <w:jc w:val="both"/>
      </w:pPr>
      <w:r>
        <w:rPr>
          <w:sz w:val="20"/>
        </w:rPr>
      </w:r>
    </w:p>
    <w:p>
      <w:pPr>
        <w:pStyle w:val="0"/>
        <w:ind w:firstLine="540"/>
        <w:jc w:val="both"/>
      </w:pPr>
      <w:r>
        <w:rPr>
          <w:sz w:val="20"/>
        </w:rPr>
        <w:t xml:space="preserve">В целях обеспечения устойчивого экономического и социального развития Российской Федерации,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 постановляю:</w:t>
      </w:r>
    </w:p>
    <w:p>
      <w:pPr>
        <w:pStyle w:val="0"/>
        <w:spacing w:before="200" w:line-rule="auto"/>
        <w:ind w:firstLine="540"/>
        <w:jc w:val="both"/>
      </w:pPr>
      <w:r>
        <w:rPr>
          <w:sz w:val="20"/>
        </w:rPr>
        <w:t xml:space="preserve">1. Определить следующие национальные цели развития Российской Федерации на период до 2030 года и на перспективу до 2036 года (далее - национальные цели):</w:t>
      </w:r>
    </w:p>
    <w:p>
      <w:pPr>
        <w:pStyle w:val="0"/>
        <w:spacing w:before="200" w:line-rule="auto"/>
        <w:ind w:firstLine="540"/>
        <w:jc w:val="both"/>
      </w:pPr>
      <w:r>
        <w:rPr>
          <w:sz w:val="20"/>
        </w:rPr>
        <w:t xml:space="preserve">а) сохранение населения, укрепление здоровья и повышение благополучия людей, поддержка семьи;</w:t>
      </w:r>
    </w:p>
    <w:p>
      <w:pPr>
        <w:pStyle w:val="0"/>
        <w:spacing w:before="200" w:line-rule="auto"/>
        <w:ind w:firstLine="540"/>
        <w:jc w:val="both"/>
      </w:pPr>
      <w:r>
        <w:rPr>
          <w:sz w:val="20"/>
        </w:rPr>
        <w:t xml:space="preserve">б) реализация потенциала каждого человека, развитие его талантов, воспитание патриотичной и социально ответственной личности;</w:t>
      </w:r>
    </w:p>
    <w:p>
      <w:pPr>
        <w:pStyle w:val="0"/>
        <w:spacing w:before="200" w:line-rule="auto"/>
        <w:ind w:firstLine="540"/>
        <w:jc w:val="both"/>
      </w:pPr>
      <w:r>
        <w:rPr>
          <w:sz w:val="20"/>
        </w:rPr>
        <w:t xml:space="preserve">в) комфортная и безопасная среда для жизни;</w:t>
      </w:r>
    </w:p>
    <w:p>
      <w:pPr>
        <w:pStyle w:val="0"/>
        <w:spacing w:before="200" w:line-rule="auto"/>
        <w:ind w:firstLine="540"/>
        <w:jc w:val="both"/>
      </w:pPr>
      <w:r>
        <w:rPr>
          <w:sz w:val="20"/>
        </w:rPr>
        <w:t xml:space="preserve">г) экологическое благополучие;</w:t>
      </w:r>
    </w:p>
    <w:p>
      <w:pPr>
        <w:pStyle w:val="0"/>
        <w:spacing w:before="200" w:line-rule="auto"/>
        <w:ind w:firstLine="540"/>
        <w:jc w:val="both"/>
      </w:pPr>
      <w:r>
        <w:rPr>
          <w:sz w:val="20"/>
        </w:rPr>
        <w:t xml:space="preserve">д) устойчивая и динамичная экономика;</w:t>
      </w:r>
    </w:p>
    <w:p>
      <w:pPr>
        <w:pStyle w:val="0"/>
        <w:spacing w:before="200" w:line-rule="auto"/>
        <w:ind w:firstLine="540"/>
        <w:jc w:val="both"/>
      </w:pPr>
      <w:r>
        <w:rPr>
          <w:sz w:val="20"/>
        </w:rPr>
        <w:t xml:space="preserve">е) технологическое лидерство;</w:t>
      </w:r>
    </w:p>
    <w:p>
      <w:pPr>
        <w:pStyle w:val="0"/>
        <w:spacing w:before="200" w:line-rule="auto"/>
        <w:ind w:firstLine="540"/>
        <w:jc w:val="both"/>
      </w:pPr>
      <w:r>
        <w:rPr>
          <w:sz w:val="20"/>
        </w:rPr>
        <w:t xml:space="preserve">ж) цифровая трансформация государственного и муниципального управления, экономики и социальной сферы.</w:t>
      </w:r>
    </w:p>
    <w:p>
      <w:pPr>
        <w:pStyle w:val="0"/>
        <w:spacing w:before="200" w:line-rule="auto"/>
        <w:ind w:firstLine="540"/>
        <w:jc w:val="both"/>
      </w:pPr>
      <w:r>
        <w:rPr>
          <w:sz w:val="20"/>
        </w:rPr>
        <w:t xml:space="preserve">2. Установить следующие целевые показатели и задачи, выполнение которых характеризует достижение национальной цели "Сохранение населения, укрепление здоровья и повышение благополучия людей, поддержка семьи":</w:t>
      </w:r>
    </w:p>
    <w:p>
      <w:pPr>
        <w:pStyle w:val="0"/>
        <w:spacing w:before="200" w:line-rule="auto"/>
        <w:ind w:firstLine="540"/>
        <w:jc w:val="both"/>
      </w:pPr>
      <w:r>
        <w:rPr>
          <w:sz w:val="20"/>
        </w:rPr>
        <w:t xml:space="preserve">а) повышение суммарного коэффициента рождаемости до 1,6 к 2030 году и до 1,8 к 2036 году, в том числе ежегодный рост суммарного коэффициента рождаемости третьих и последующих детей;</w:t>
      </w:r>
    </w:p>
    <w:p>
      <w:pPr>
        <w:pStyle w:val="0"/>
        <w:spacing w:before="200" w:line-rule="auto"/>
        <w:ind w:firstLine="540"/>
        <w:jc w:val="both"/>
      </w:pPr>
      <w:r>
        <w:rPr>
          <w:sz w:val="20"/>
        </w:rPr>
        <w:t xml:space="preserve">б) 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pPr>
        <w:pStyle w:val="0"/>
        <w:spacing w:before="200" w:line-rule="auto"/>
        <w:ind w:firstLine="540"/>
        <w:jc w:val="both"/>
      </w:pPr>
      <w:r>
        <w:rPr>
          <w:sz w:val="20"/>
        </w:rPr>
        <w:t xml:space="preserve">в) обеспечение не ниже среднероссийских темпов повышения к 2030 году суммарного коэффициента рождаемости в субъектах Российской Федерации, в которых по итогам 2023 года значение такого коэффициента было ниже среднероссийского;</w:t>
      </w:r>
    </w:p>
    <w:p>
      <w:pPr>
        <w:pStyle w:val="0"/>
        <w:spacing w:before="200" w:line-rule="auto"/>
        <w:ind w:firstLine="540"/>
        <w:jc w:val="both"/>
      </w:pPr>
      <w:r>
        <w:rPr>
          <w:sz w:val="20"/>
        </w:rPr>
        <w:t xml:space="preserve">г) снижение к 2036 году дифференциации показателей ожидаемой продолжительности жизни не менее чем на 25 процентов по сравнению с уровнем 2023 года;</w:t>
      </w:r>
    </w:p>
    <w:p>
      <w:pPr>
        <w:pStyle w:val="0"/>
        <w:spacing w:before="200" w:line-rule="auto"/>
        <w:ind w:firstLine="540"/>
        <w:jc w:val="both"/>
      </w:pPr>
      <w:r>
        <w:rPr>
          <w:sz w:val="20"/>
        </w:rPr>
        <w:t xml:space="preserve">д)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 создания условий для своевременной профилактики заболеваний и привлечения граждан к систематическим занятиям спортом;</w:t>
      </w:r>
    </w:p>
    <w:p>
      <w:pPr>
        <w:pStyle w:val="0"/>
        <w:spacing w:before="200" w:line-rule="auto"/>
        <w:ind w:firstLine="540"/>
        <w:jc w:val="both"/>
      </w:pPr>
      <w:r>
        <w:rPr>
          <w:sz w:val="20"/>
        </w:rPr>
        <w:t xml:space="preserve">е) повышение к 2030 году уровня удовлетворенности граждан условиями для занятий физической культурой и спортом;</w:t>
      </w:r>
    </w:p>
    <w:p>
      <w:pPr>
        <w:pStyle w:val="0"/>
        <w:spacing w:before="200" w:line-rule="auto"/>
        <w:ind w:firstLine="540"/>
        <w:jc w:val="both"/>
      </w:pPr>
      <w:r>
        <w:rPr>
          <w:sz w:val="20"/>
        </w:rPr>
        <w:t xml:space="preserve">ж) увеличение к 2030 году численности граждан пожилого возраста и инвалидов, получающих услуги долговременного ухода, не менее чем до 500 тыс. человек из числа наиболее нуждающихся в таких услугах;</w:t>
      </w:r>
    </w:p>
    <w:p>
      <w:pPr>
        <w:pStyle w:val="0"/>
        <w:spacing w:before="200" w:line-rule="auto"/>
        <w:ind w:firstLine="540"/>
        <w:jc w:val="both"/>
      </w:pPr>
      <w:r>
        <w:rPr>
          <w:sz w:val="20"/>
        </w:rPr>
        <w:t xml:space="preserve">з) повышение к 2030 году уровня удовлетворенности участников специальной военной операции условиями для медицинской реабилитации, переобучения и трудоустройства;</w:t>
      </w:r>
    </w:p>
    <w:p>
      <w:pPr>
        <w:pStyle w:val="0"/>
        <w:spacing w:before="200" w:line-rule="auto"/>
        <w:ind w:firstLine="540"/>
        <w:jc w:val="both"/>
      </w:pPr>
      <w:r>
        <w:rPr>
          <w:sz w:val="20"/>
        </w:rPr>
        <w:t xml:space="preserve">и) создание и запуск к 2030 году цифровой платформы, способствующей формированию, поддержанию и сохранению здоровья человека на протяжении всей его жизни, на базе принципа управления на основе данных;</w:t>
      </w:r>
    </w:p>
    <w:p>
      <w:pPr>
        <w:pStyle w:val="0"/>
        <w:spacing w:before="200" w:line-rule="auto"/>
        <w:ind w:firstLine="540"/>
        <w:jc w:val="both"/>
      </w:pPr>
      <w:r>
        <w:rPr>
          <w:sz w:val="20"/>
        </w:rPr>
        <w:t xml:space="preserve">к)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w:t>
      </w:r>
    </w:p>
    <w:p>
      <w:pPr>
        <w:pStyle w:val="0"/>
        <w:spacing w:before="200" w:line-rule="auto"/>
        <w:ind w:firstLine="540"/>
        <w:jc w:val="both"/>
      </w:pPr>
      <w:r>
        <w:rPr>
          <w:sz w:val="20"/>
        </w:rPr>
        <w:t xml:space="preserve">л) снижение коэффициента Джини (индекс концентрации доходов) до 0,37 к 2030 году и до 0,33 к 2036 году;</w:t>
      </w:r>
    </w:p>
    <w:p>
      <w:pPr>
        <w:pStyle w:val="0"/>
        <w:spacing w:before="200" w:line-rule="auto"/>
        <w:ind w:firstLine="540"/>
        <w:jc w:val="both"/>
      </w:pPr>
      <w:r>
        <w:rPr>
          <w:sz w:val="20"/>
        </w:rPr>
        <w:t xml:space="preserve">м) обеспечение повышения опережающими темпами минимального размера оплаты труда, в том числе его рост к 2030 году более чем в два раза по сравнению с суммой, установленной на 2023 год, с достижением его величины не менее чем 35 тыс. рублей в месяц;</w:t>
      </w:r>
    </w:p>
    <w:p>
      <w:pPr>
        <w:pStyle w:val="0"/>
        <w:spacing w:before="200" w:line-rule="auto"/>
        <w:ind w:firstLine="540"/>
        <w:jc w:val="both"/>
      </w:pPr>
      <w:r>
        <w:rPr>
          <w:sz w:val="20"/>
        </w:rPr>
        <w:t xml:space="preserve">н) утверждение в 2026 году новых систем оплаты труда работников государственных и муниципальных организаций и внедрение таких систем с 2027 года в целях обеспечения роста доходов работников бюджетного сектора экономики, предусмотренных указами Президента Российской Федерации от 7 мая 2012 г. </w:t>
      </w:r>
      <w:hyperlink w:history="0" r:id="rId6"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N 597</w:t>
        </w:r>
      </w:hyperlink>
      <w:r>
        <w:rPr>
          <w:sz w:val="20"/>
        </w:rPr>
        <w:t xml:space="preserve"> "О мероприятиях по реализации государственной социальной политики", от 1 июня 2012 г. </w:t>
      </w:r>
      <w:hyperlink w:history="0" r:id="rId7" w:tooltip="Указ Президента РФ от 01.06.2012 N 761 &quot;О Национальной стратегии действий в интересах детей на 2012 - 2017 годы&quot; {КонсультантПлюс}">
        <w:r>
          <w:rPr>
            <w:sz w:val="20"/>
            <w:color w:val="0000ff"/>
          </w:rPr>
          <w:t xml:space="preserve">N 761</w:t>
        </w:r>
      </w:hyperlink>
      <w:r>
        <w:rPr>
          <w:sz w:val="20"/>
        </w:rPr>
        <w:t xml:space="preserve"> "О Национальной стратегии действий в интересах детей на 2012 - 2017 годы" и от 28 декабря 2012 г. </w:t>
      </w:r>
      <w:hyperlink w:history="0" r:id="rId8" w:tooltip="Указ Президента РФ от 28.12.2012 N 1688 (ред. от 14.11.2017) &quot;О некоторых мерах по реализации государственной политики в сфере защиты детей-сирот и детей, оставшихся без попечения родителей&quot; {КонсультантПлюс}">
        <w:r>
          <w:rPr>
            <w:sz w:val="20"/>
            <w:color w:val="0000ff"/>
          </w:rPr>
          <w:t xml:space="preserve">N 1688</w:t>
        </w:r>
      </w:hyperlink>
      <w:r>
        <w:rPr>
          <w:sz w:val="20"/>
        </w:rPr>
        <w:t xml:space="preserve"> "О некоторых мерах по реализации государственной политики в сфере защиты детей-сирот и детей, оставшихся без попечения родителей".</w:t>
      </w:r>
    </w:p>
    <w:p>
      <w:pPr>
        <w:pStyle w:val="0"/>
        <w:spacing w:before="200" w:line-rule="auto"/>
        <w:ind w:firstLine="540"/>
        <w:jc w:val="both"/>
      </w:pPr>
      <w:r>
        <w:rPr>
          <w:sz w:val="20"/>
        </w:rPr>
        <w:t xml:space="preserve">3. Установить следующие целевые показатели и задачи, выполнение которых характеризует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w:t>
      </w:r>
    </w:p>
    <w:p>
      <w:pPr>
        <w:pStyle w:val="0"/>
        <w:spacing w:before="200" w:line-rule="auto"/>
        <w:ind w:firstLine="540"/>
        <w:jc w:val="both"/>
      </w:pPr>
      <w:r>
        <w:rPr>
          <w:sz w:val="20"/>
        </w:rPr>
        <w:t xml:space="preserve">а) 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pPr>
        <w:pStyle w:val="0"/>
        <w:spacing w:before="200" w:line-rule="auto"/>
        <w:ind w:firstLine="540"/>
        <w:jc w:val="both"/>
      </w:pPr>
      <w:r>
        <w:rPr>
          <w:sz w:val="20"/>
        </w:rPr>
        <w:t xml:space="preserve">б) увеличение к 2030 году численности иностранных студентов, обучающихся по образовательным программам высшего образования в российских образовательных организациях высшего образования и научных организациях, не менее чем до 500 тыс. человек;</w:t>
      </w:r>
    </w:p>
    <w:p>
      <w:pPr>
        <w:pStyle w:val="0"/>
        <w:spacing w:before="200" w:line-rule="auto"/>
        <w:ind w:firstLine="540"/>
        <w:jc w:val="both"/>
      </w:pPr>
      <w:r>
        <w:rPr>
          <w:sz w:val="20"/>
        </w:rPr>
        <w:t xml:space="preserve">в) 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до 75 процентов;</w:t>
      </w:r>
    </w:p>
    <w:p>
      <w:pPr>
        <w:pStyle w:val="0"/>
        <w:spacing w:before="200" w:line-rule="auto"/>
        <w:ind w:firstLine="540"/>
        <w:jc w:val="both"/>
      </w:pPr>
      <w:r>
        <w:rPr>
          <w:sz w:val="20"/>
        </w:rPr>
        <w:t xml:space="preserve">г) увеличение к 2030 году доли молодых людей, верящих в возможности самореализации в России, не менее чем до 85 процентов;</w:t>
      </w:r>
    </w:p>
    <w:p>
      <w:pPr>
        <w:pStyle w:val="0"/>
        <w:spacing w:before="200" w:line-rule="auto"/>
        <w:ind w:firstLine="540"/>
        <w:jc w:val="both"/>
      </w:pPr>
      <w:r>
        <w:rPr>
          <w:sz w:val="20"/>
        </w:rPr>
        <w:t xml:space="preserve">д) увеличение к 2030 году доли молодых людей, вовлеченных в добровольческую и общественную деятельность, не менее чем до 45 процентов;</w:t>
      </w:r>
    </w:p>
    <w:p>
      <w:pPr>
        <w:pStyle w:val="0"/>
        <w:spacing w:before="200" w:line-rule="auto"/>
        <w:ind w:firstLine="540"/>
        <w:jc w:val="both"/>
      </w:pPr>
      <w:r>
        <w:rPr>
          <w:sz w:val="20"/>
        </w:rPr>
        <w:t xml:space="preserve">е)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pPr>
        <w:pStyle w:val="0"/>
        <w:spacing w:before="200" w:line-rule="auto"/>
        <w:ind w:firstLine="540"/>
        <w:jc w:val="both"/>
      </w:pPr>
      <w:r>
        <w:rPr>
          <w:sz w:val="20"/>
        </w:rPr>
        <w:t xml:space="preserve">ж) обеспечение продвижения и защиты традиционных российских духовно-нравственных ценностей в рамках не менее 70 процентов проектов в сфере культуры, искусства и народного творчества, финансируемых государственными институтами развития, к 2030 году и не менее 80 процентов таких проектов к 2036 году;</w:t>
      </w:r>
    </w:p>
    <w:p>
      <w:pPr>
        <w:pStyle w:val="0"/>
        <w:spacing w:before="200" w:line-rule="auto"/>
        <w:ind w:firstLine="540"/>
        <w:jc w:val="both"/>
      </w:pPr>
      <w:r>
        <w:rPr>
          <w:sz w:val="20"/>
        </w:rPr>
        <w:t xml:space="preserve">з) повышение к 2030 году удовлетворенности граждан работой государственных и муниципальных организаций культуры, искусства и народного творчества;</w:t>
      </w:r>
    </w:p>
    <w:p>
      <w:pPr>
        <w:pStyle w:val="0"/>
        <w:spacing w:before="200" w:line-rule="auto"/>
        <w:ind w:firstLine="540"/>
        <w:jc w:val="both"/>
      </w:pPr>
      <w:r>
        <w:rPr>
          <w:sz w:val="20"/>
        </w:rPr>
        <w:t xml:space="preserve">и)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pPr>
        <w:pStyle w:val="0"/>
        <w:spacing w:before="200" w:line-rule="auto"/>
        <w:ind w:firstLine="540"/>
        <w:jc w:val="both"/>
      </w:pPr>
      <w:r>
        <w:rPr>
          <w:sz w:val="20"/>
        </w:rPr>
        <w:t xml:space="preserve">4. Установить следующие целевые показатели и задачи, выполнение которых характеризует достижение национальной цели "Комфортная и безопасная среда для жизни":</w:t>
      </w:r>
    </w:p>
    <w:p>
      <w:pPr>
        <w:pStyle w:val="0"/>
        <w:spacing w:before="200" w:line-rule="auto"/>
        <w:ind w:firstLine="540"/>
        <w:jc w:val="both"/>
      </w:pPr>
      <w:r>
        <w:rPr>
          <w:sz w:val="20"/>
        </w:rPr>
        <w:t xml:space="preserve">а) улучшение качества среды для жизни в опорных населенных пунктах на 30 процентов к 2030 году и на 60 процентов к 2036 году;</w:t>
      </w:r>
    </w:p>
    <w:p>
      <w:pPr>
        <w:pStyle w:val="0"/>
        <w:spacing w:before="200" w:line-rule="auto"/>
        <w:ind w:firstLine="540"/>
        <w:jc w:val="both"/>
      </w:pPr>
      <w:r>
        <w:rPr>
          <w:sz w:val="20"/>
        </w:rPr>
        <w:t xml:space="preserve">б) обеспечение граждан жильем общей площадью не менее 33 кв. метров на человека к 2030 году и не менее 38 кв. метров к 2036 году;</w:t>
      </w:r>
    </w:p>
    <w:p>
      <w:pPr>
        <w:pStyle w:val="0"/>
        <w:spacing w:before="200" w:line-rule="auto"/>
        <w:ind w:firstLine="540"/>
        <w:jc w:val="both"/>
      </w:pPr>
      <w:r>
        <w:rPr>
          <w:sz w:val="20"/>
        </w:rPr>
        <w:t xml:space="preserve">в) обновление к 2030 году жилищного фонда не менее чем на 20 процентов по сравнению с показателем 2019 года;</w:t>
      </w:r>
    </w:p>
    <w:p>
      <w:pPr>
        <w:pStyle w:val="0"/>
        <w:spacing w:before="200" w:line-rule="auto"/>
        <w:ind w:firstLine="540"/>
        <w:jc w:val="both"/>
      </w:pPr>
      <w:r>
        <w:rPr>
          <w:sz w:val="20"/>
        </w:rPr>
        <w:t xml:space="preserve">г) устойчивое сокращение непригодного для проживания жилищного фонда;</w:t>
      </w:r>
    </w:p>
    <w:p>
      <w:pPr>
        <w:pStyle w:val="0"/>
        <w:spacing w:before="200" w:line-rule="auto"/>
        <w:ind w:firstLine="540"/>
        <w:jc w:val="both"/>
      </w:pPr>
      <w:r>
        <w:rPr>
          <w:sz w:val="20"/>
        </w:rPr>
        <w:t xml:space="preserve">д) повышение доступности жилья на первичном рынке;</w:t>
      </w:r>
    </w:p>
    <w:p>
      <w:pPr>
        <w:pStyle w:val="0"/>
        <w:spacing w:before="200" w:line-rule="auto"/>
        <w:ind w:firstLine="540"/>
        <w:jc w:val="both"/>
      </w:pPr>
      <w:r>
        <w:rPr>
          <w:sz w:val="20"/>
        </w:rPr>
        <w:t xml:space="preserve">е) благоустройство не менее чем 30 тыс.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w:t>
      </w:r>
    </w:p>
    <w:p>
      <w:pPr>
        <w:pStyle w:val="0"/>
        <w:spacing w:before="200" w:line-rule="auto"/>
        <w:ind w:firstLine="540"/>
        <w:jc w:val="both"/>
      </w:pPr>
      <w:r>
        <w:rPr>
          <w:sz w:val="20"/>
        </w:rPr>
        <w:t xml:space="preserve">ж) реализация программы модернизации коммунальной инфраструктуры и улучшение качества предоставляемых коммунальных услуг для 20 млн. человек к 2030 году;</w:t>
      </w:r>
    </w:p>
    <w:p>
      <w:pPr>
        <w:pStyle w:val="0"/>
        <w:spacing w:before="200" w:line-rule="auto"/>
        <w:ind w:firstLine="540"/>
        <w:jc w:val="both"/>
      </w:pPr>
      <w:r>
        <w:rPr>
          <w:sz w:val="20"/>
        </w:rPr>
        <w:t xml:space="preserve">з) строительство и реконструкция (модернизация) не менее чем 2 тыс. объектов питьевого водоснабжения и водоподготовки к 2030 году;</w:t>
      </w:r>
    </w:p>
    <w:p>
      <w:pPr>
        <w:pStyle w:val="0"/>
        <w:spacing w:before="200" w:line-rule="auto"/>
        <w:ind w:firstLine="540"/>
        <w:jc w:val="both"/>
      </w:pPr>
      <w:r>
        <w:rPr>
          <w:sz w:val="20"/>
        </w:rPr>
        <w:t xml:space="preserve">и) обеспечение значимого роста энергетической и ресурсной эффективности в жилищно-коммунальном хозяйстве, промышленном и инфраструктурном строительстве;</w:t>
      </w:r>
    </w:p>
    <w:p>
      <w:pPr>
        <w:pStyle w:val="0"/>
        <w:spacing w:before="200" w:line-rule="auto"/>
        <w:ind w:firstLine="540"/>
        <w:jc w:val="both"/>
      </w:pPr>
      <w:r>
        <w:rPr>
          <w:sz w:val="20"/>
        </w:rPr>
        <w:t xml:space="preserve">к) увеличение к 2030 году в агломерациях и городах доли парка общественного транспорта, имеющего срок эксплуатации не старше нормативного, не менее чем до 85 процентов;</w:t>
      </w:r>
    </w:p>
    <w:p>
      <w:pPr>
        <w:pStyle w:val="0"/>
        <w:spacing w:before="200" w:line-rule="auto"/>
        <w:ind w:firstLine="540"/>
        <w:jc w:val="both"/>
      </w:pPr>
      <w:r>
        <w:rPr>
          <w:sz w:val="20"/>
        </w:rPr>
        <w:t xml:space="preserve">л)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 опорной сети автомобильных дорог - не менее чем до 85 процентов, автомобильных дорог регионального или межмуниципального значения - не менее чем до 60 процентов;</w:t>
      </w:r>
    </w:p>
    <w:p>
      <w:pPr>
        <w:pStyle w:val="0"/>
        <w:spacing w:before="200" w:line-rule="auto"/>
        <w:ind w:firstLine="540"/>
        <w:jc w:val="both"/>
      </w:pPr>
      <w:r>
        <w:rPr>
          <w:sz w:val="20"/>
        </w:rPr>
        <w:t xml:space="preserve">м) снижение смертности в результате дорожно-транспортных происшествий в полтора раза к 2030 году и в два раза к 2036 году по сравнению с показателем 2023 года;</w:t>
      </w:r>
    </w:p>
    <w:p>
      <w:pPr>
        <w:pStyle w:val="0"/>
        <w:spacing w:before="200" w:line-rule="auto"/>
        <w:ind w:firstLine="540"/>
        <w:jc w:val="both"/>
      </w:pPr>
      <w:r>
        <w:rPr>
          <w:sz w:val="20"/>
        </w:rPr>
        <w:t xml:space="preserve">н) увеличение к 2030 году авиационной подвижности населения не менее чем на 50 процентов по сравнению с показателем 2023 года при обеспечении к 2030 году доли самолетов отечественного производства в парке российских авиаперевозчиков не менее чем 50 процентов;</w:t>
      </w:r>
    </w:p>
    <w:p>
      <w:pPr>
        <w:pStyle w:val="0"/>
        <w:spacing w:before="200" w:line-rule="auto"/>
        <w:ind w:firstLine="540"/>
        <w:jc w:val="both"/>
      </w:pPr>
      <w:r>
        <w:rPr>
          <w:sz w:val="20"/>
        </w:rPr>
        <w:t xml:space="preserve">о) завершение до конца 2030 года капитального ремонта зданий дошкольных образовательных организаций и общеобразовательных организаций, признанных нуждающимися в проведении такого ремонта по состоянию на 1 января 2025 г.;</w:t>
      </w:r>
    </w:p>
    <w:p>
      <w:pPr>
        <w:pStyle w:val="0"/>
        <w:spacing w:before="200" w:line-rule="auto"/>
        <w:ind w:firstLine="540"/>
        <w:jc w:val="both"/>
      </w:pPr>
      <w:r>
        <w:rPr>
          <w:sz w:val="20"/>
        </w:rPr>
        <w:t xml:space="preserve">п) обеспечение в рамках программы социальной газификации населения подключения к сетевому природному газу не менее чем 1,6 млн. домовладений к 2030 году и не менее чем 3 млн. домовладений к 2036 году;</w:t>
      </w:r>
    </w:p>
    <w:p>
      <w:pPr>
        <w:pStyle w:val="0"/>
        <w:spacing w:before="200" w:line-rule="auto"/>
        <w:ind w:firstLine="540"/>
        <w:jc w:val="both"/>
      </w:pPr>
      <w:r>
        <w:rPr>
          <w:sz w:val="20"/>
        </w:rPr>
        <w:t xml:space="preserve">р) оснащение к 2030 году необходимым оборудованием до 900 центров воспроизведения аудиовизуального контента в малых населенных пунктах (с численностью населения до 50 тыс. человек) в целях обеспечения доступа граждан к достижениям современного российского кинематографа, подключение таких центров к единой цифровой платформе, содержащей в том числе библиотеку аудиовизуального контента.</w:t>
      </w:r>
    </w:p>
    <w:p>
      <w:pPr>
        <w:pStyle w:val="0"/>
        <w:spacing w:before="200" w:line-rule="auto"/>
        <w:ind w:firstLine="540"/>
        <w:jc w:val="both"/>
      </w:pPr>
      <w:r>
        <w:rPr>
          <w:sz w:val="20"/>
        </w:rPr>
        <w:t xml:space="preserve">5. Установить следующие целевые показатели и задачи, выполнение которых характеризует достижение национальной цели "Экологическое благополучие":</w:t>
      </w:r>
    </w:p>
    <w:p>
      <w:pPr>
        <w:pStyle w:val="0"/>
        <w:spacing w:before="200" w:line-rule="auto"/>
        <w:ind w:firstLine="540"/>
        <w:jc w:val="both"/>
      </w:pPr>
      <w:r>
        <w:rPr>
          <w:sz w:val="20"/>
        </w:rPr>
        <w:t xml:space="preserve">а) формирование экономики замкнутого цикла, обеспечивающей к 2030 году сортировку 100 процентов объема ежегодно образуемых твердых коммунальных отходов,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w:t>
      </w:r>
    </w:p>
    <w:p>
      <w:pPr>
        <w:pStyle w:val="0"/>
        <w:spacing w:before="200" w:line-rule="auto"/>
        <w:ind w:firstLine="540"/>
        <w:jc w:val="both"/>
      </w:pPr>
      <w:r>
        <w:rPr>
          <w:sz w:val="20"/>
        </w:rPr>
        <w:t xml:space="preserve">б) поэтапное снижение к 2036 году в два раза выбросов опасных загрязняющих веществ, оказывающих наибольшее негативное воздействие на окружающую среду и здоровье человека, в городах с высоким и очень высоким уровнем загрязнения атмосферного воздуха;</w:t>
      </w:r>
    </w:p>
    <w:p>
      <w:pPr>
        <w:pStyle w:val="0"/>
        <w:spacing w:before="200" w:line-rule="auto"/>
        <w:ind w:firstLine="540"/>
        <w:jc w:val="both"/>
      </w:pPr>
      <w:r>
        <w:rPr>
          <w:sz w:val="20"/>
        </w:rPr>
        <w:t xml:space="preserve">в) ликвидация до конца 2030 года не менее чем 50 опасных объектов накопленного вреда окружающей среде, утилизация и обезвреживание к 2036 году не менее чем 50 процентов общего объема отходов I и II классов опасности;</w:t>
      </w:r>
    </w:p>
    <w:p>
      <w:pPr>
        <w:pStyle w:val="0"/>
        <w:spacing w:before="200" w:line-rule="auto"/>
        <w:ind w:firstLine="540"/>
        <w:jc w:val="both"/>
      </w:pPr>
      <w:r>
        <w:rPr>
          <w:sz w:val="20"/>
        </w:rPr>
        <w:t xml:space="preserve">г) снижение к 2036 году в два раза объема неочищенных сточных вод, сбрасываемых в основные водные объекты, сохранение уникальной экологической системы озера Байкал;</w:t>
      </w:r>
    </w:p>
    <w:p>
      <w:pPr>
        <w:pStyle w:val="0"/>
        <w:spacing w:before="200" w:line-rule="auto"/>
        <w:ind w:firstLine="540"/>
        <w:jc w:val="both"/>
      </w:pPr>
      <w:r>
        <w:rPr>
          <w:sz w:val="20"/>
        </w:rPr>
        <w:t xml:space="preserve">д) сохранение лесов и биологического разнообразия, устойчивое развитие особо охраняемых природных территорий и создание условий для экологического туризма во всех национальных парках.</w:t>
      </w:r>
    </w:p>
    <w:p>
      <w:pPr>
        <w:pStyle w:val="0"/>
        <w:spacing w:before="200" w:line-rule="auto"/>
        <w:ind w:firstLine="540"/>
        <w:jc w:val="both"/>
      </w:pPr>
      <w:r>
        <w:rPr>
          <w:sz w:val="20"/>
        </w:rPr>
        <w:t xml:space="preserve">6. Установить следующие целевые показатели и задачи, выполнение которых характеризует достижение национальной цели "Устойчивая и динамичная экономика":</w:t>
      </w:r>
    </w:p>
    <w:p>
      <w:pPr>
        <w:pStyle w:val="0"/>
        <w:spacing w:before="200" w:line-rule="auto"/>
        <w:ind w:firstLine="540"/>
        <w:jc w:val="both"/>
      </w:pPr>
      <w:r>
        <w:rPr>
          <w:sz w:val="20"/>
        </w:rPr>
        <w:t xml:space="preserve">а)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spacing w:before="200" w:line-rule="auto"/>
        <w:ind w:firstLine="540"/>
        <w:jc w:val="both"/>
      </w:pPr>
      <w:r>
        <w:rPr>
          <w:sz w:val="20"/>
        </w:rPr>
        <w:t xml:space="preserve">б) снижение доли импорта товаров и услуг в структуре валового внутреннего продукта до 17 процентов к 2030 году;</w:t>
      </w:r>
    </w:p>
    <w:p>
      <w:pPr>
        <w:pStyle w:val="0"/>
        <w:spacing w:before="200" w:line-rule="auto"/>
        <w:ind w:firstLine="540"/>
        <w:jc w:val="both"/>
      </w:pPr>
      <w:r>
        <w:rPr>
          <w:sz w:val="20"/>
        </w:rPr>
        <w:t xml:space="preserve">в) 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w:t>
      </w:r>
    </w:p>
    <w:p>
      <w:pPr>
        <w:pStyle w:val="0"/>
        <w:spacing w:before="200" w:line-rule="auto"/>
        <w:ind w:firstLine="540"/>
        <w:jc w:val="both"/>
      </w:pPr>
      <w:r>
        <w:rPr>
          <w:sz w:val="20"/>
        </w:rPr>
        <w:t xml:space="preserve">г) обеспечение устойчивого роста доходов населения и уровня пенсионного обеспечения не ниже уровня инфляции;</w:t>
      </w:r>
    </w:p>
    <w:p>
      <w:pPr>
        <w:pStyle w:val="0"/>
        <w:spacing w:before="200" w:line-rule="auto"/>
        <w:ind w:firstLine="540"/>
        <w:jc w:val="both"/>
      </w:pPr>
      <w:r>
        <w:rPr>
          <w:sz w:val="20"/>
        </w:rPr>
        <w:t xml:space="preserve">д) 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w:t>
      </w:r>
    </w:p>
    <w:p>
      <w:pPr>
        <w:pStyle w:val="0"/>
        <w:spacing w:before="200" w:line-rule="auto"/>
        <w:ind w:firstLine="540"/>
        <w:jc w:val="both"/>
      </w:pPr>
      <w:r>
        <w:rPr>
          <w:sz w:val="20"/>
        </w:rPr>
        <w:t xml:space="preserve">е) 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 доли долгосрочных сбережений граждан в общем объеме их сбережений не менее чем до 40 процентов к 2030 году и до 45 процентов к 2036 году;</w:t>
      </w:r>
    </w:p>
    <w:p>
      <w:pPr>
        <w:pStyle w:val="0"/>
        <w:spacing w:before="200" w:line-rule="auto"/>
        <w:ind w:firstLine="540"/>
        <w:jc w:val="both"/>
      </w:pPr>
      <w:r>
        <w:rPr>
          <w:sz w:val="20"/>
        </w:rPr>
        <w:t xml:space="preserve">ж) вхождение к 2030 году Российской Федерации в число 25 ведущих стран мира по показателю плотности роботизации;</w:t>
      </w:r>
    </w:p>
    <w:p>
      <w:pPr>
        <w:pStyle w:val="0"/>
        <w:spacing w:before="200" w:line-rule="auto"/>
        <w:ind w:firstLine="540"/>
        <w:jc w:val="both"/>
      </w:pPr>
      <w:r>
        <w:rPr>
          <w:sz w:val="20"/>
        </w:rPr>
        <w:t xml:space="preserve">з) 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 направленных на повышение производительности труда;</w:t>
      </w:r>
    </w:p>
    <w:p>
      <w:pPr>
        <w:pStyle w:val="0"/>
        <w:spacing w:before="200" w:line-rule="auto"/>
        <w:ind w:firstLine="540"/>
        <w:jc w:val="both"/>
      </w:pPr>
      <w:r>
        <w:rPr>
          <w:sz w:val="20"/>
        </w:rPr>
        <w:t xml:space="preserve">и) 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pPr>
        <w:pStyle w:val="0"/>
        <w:spacing w:before="200" w:line-rule="auto"/>
        <w:ind w:firstLine="540"/>
        <w:jc w:val="both"/>
      </w:pPr>
      <w:r>
        <w:rPr>
          <w:sz w:val="20"/>
        </w:rPr>
        <w:t xml:space="preserve">к) создание к 2030 году условий для одновременного освоения не менее чем 30 процентами студентов нескольких квалификаций в рамках профессионального образования;</w:t>
      </w:r>
    </w:p>
    <w:p>
      <w:pPr>
        <w:pStyle w:val="0"/>
        <w:spacing w:before="200" w:line-rule="auto"/>
        <w:ind w:firstLine="540"/>
        <w:jc w:val="both"/>
      </w:pPr>
      <w:r>
        <w:rPr>
          <w:sz w:val="20"/>
        </w:rPr>
        <w:t xml:space="preserve">л) создание к 2030 году институциональных условий для постоянного профессионального развития работающих граждан, в том числе для получения новых профессий и повышения квалификации;</w:t>
      </w:r>
    </w:p>
    <w:p>
      <w:pPr>
        <w:pStyle w:val="0"/>
        <w:spacing w:before="200" w:line-rule="auto"/>
        <w:ind w:firstLine="540"/>
        <w:jc w:val="both"/>
      </w:pPr>
      <w:r>
        <w:rPr>
          <w:sz w:val="20"/>
        </w:rPr>
        <w:t xml:space="preserve">м) снижение к 2036 году не более чем до двух раз разрыва в уровнях бюджетной обеспеченности между 10 наиболее обеспеченными и 10 наименее обеспеченными субъектами Российской Федерации (с учетом оказания финансовой поддержки из федерального бюджета в форме целевых межбюджетных трансфертов);</w:t>
      </w:r>
    </w:p>
    <w:p>
      <w:pPr>
        <w:pStyle w:val="0"/>
        <w:spacing w:before="200" w:line-rule="auto"/>
        <w:ind w:firstLine="540"/>
        <w:jc w:val="both"/>
      </w:pPr>
      <w:r>
        <w:rPr>
          <w:sz w:val="20"/>
        </w:rPr>
        <w:t xml:space="preserve">н) увеличение к 2030 году доли туристской отрасли в валовом внутреннем продукте до 5 процентов;</w:t>
      </w:r>
    </w:p>
    <w:p>
      <w:pPr>
        <w:pStyle w:val="0"/>
        <w:spacing w:before="200" w:line-rule="auto"/>
        <w:ind w:firstLine="540"/>
        <w:jc w:val="both"/>
      </w:pPr>
      <w:r>
        <w:rPr>
          <w:sz w:val="20"/>
        </w:rPr>
        <w:t xml:space="preserve">о) обеспечение к 2030 году прироста объема экспорта несырьевых неэнергетических товаров не менее чем на две трети по сравнению с показателем 2023 года;</w:t>
      </w:r>
    </w:p>
    <w:p>
      <w:pPr>
        <w:pStyle w:val="0"/>
        <w:spacing w:before="200" w:line-rule="auto"/>
        <w:ind w:firstLine="540"/>
        <w:jc w:val="both"/>
      </w:pPr>
      <w:r>
        <w:rPr>
          <w:sz w:val="20"/>
        </w:rPr>
        <w:t xml:space="preserve">п) увеличение к 2030 году объема производства продукции агропромышленного комплекса не менее чем на 25 процентов по сравнению с уровнем 2021 года;</w:t>
      </w:r>
    </w:p>
    <w:p>
      <w:pPr>
        <w:pStyle w:val="0"/>
        <w:spacing w:before="200" w:line-rule="auto"/>
        <w:ind w:firstLine="540"/>
        <w:jc w:val="both"/>
      </w:pPr>
      <w:r>
        <w:rPr>
          <w:sz w:val="20"/>
        </w:rPr>
        <w:t xml:space="preserve">р) увеличение к 2030 году экспорта продукции агропромышленного комплекса не менее чем в полтора раза по сравнению с уровнем 2021 года;</w:t>
      </w:r>
    </w:p>
    <w:p>
      <w:pPr>
        <w:pStyle w:val="0"/>
        <w:spacing w:before="200" w:line-rule="auto"/>
        <w:ind w:firstLine="540"/>
        <w:jc w:val="both"/>
      </w:pPr>
      <w:r>
        <w:rPr>
          <w:sz w:val="20"/>
        </w:rPr>
        <w:t xml:space="preserve">с) формирование сети устойчивых партнерств с иностранными государствами и создание необходимой инфраструктуры для внешнеэкономической деятельности, технологической и промышленной кооперации и освоения новых рынков;</w:t>
      </w:r>
    </w:p>
    <w:p>
      <w:pPr>
        <w:pStyle w:val="0"/>
        <w:spacing w:before="200" w:line-rule="auto"/>
        <w:ind w:firstLine="540"/>
        <w:jc w:val="both"/>
      </w:pPr>
      <w:r>
        <w:rPr>
          <w:sz w:val="20"/>
        </w:rPr>
        <w:t xml:space="preserve">т) увеличение к 2030 году экспорта туристских услуг в три раза по сравнению с уровнем 2023 года;</w:t>
      </w:r>
    </w:p>
    <w:p>
      <w:pPr>
        <w:pStyle w:val="0"/>
        <w:spacing w:before="200" w:line-rule="auto"/>
        <w:ind w:firstLine="540"/>
        <w:jc w:val="both"/>
      </w:pPr>
      <w:r>
        <w:rPr>
          <w:sz w:val="20"/>
        </w:rPr>
        <w:t xml:space="preserve">у) увеличение к 2030 году объема перевозок по международным транспортным коридорам не менее чем в полтора раза по сравнению с уровнем 2021 года за счет повышения глобальной конкурентоспособности маршрутов;</w:t>
      </w:r>
    </w:p>
    <w:p>
      <w:pPr>
        <w:pStyle w:val="0"/>
        <w:spacing w:before="200" w:line-rule="auto"/>
        <w:ind w:firstLine="540"/>
        <w:jc w:val="both"/>
      </w:pPr>
      <w:r>
        <w:rPr>
          <w:sz w:val="20"/>
        </w:rPr>
        <w:t xml:space="preserve">ф) увеличение доли креативных (творческих) индустрий в экономике;</w:t>
      </w:r>
    </w:p>
    <w:p>
      <w:pPr>
        <w:pStyle w:val="0"/>
        <w:spacing w:before="200" w:line-rule="auto"/>
        <w:ind w:firstLine="540"/>
        <w:jc w:val="both"/>
      </w:pPr>
      <w:r>
        <w:rPr>
          <w:sz w:val="20"/>
        </w:rPr>
        <w:t xml:space="preserve">х) утверждение и реализация программ адаптации к изменениям климата на федеральном, региональном и корпоративном уровнях;</w:t>
      </w:r>
    </w:p>
    <w:p>
      <w:pPr>
        <w:pStyle w:val="0"/>
        <w:spacing w:before="200" w:line-rule="auto"/>
        <w:ind w:firstLine="540"/>
        <w:jc w:val="both"/>
      </w:pPr>
      <w:r>
        <w:rPr>
          <w:sz w:val="20"/>
        </w:rPr>
        <w:t xml:space="preserve">ц) создание национальной системы мониторинга климатически активных веществ.</w:t>
      </w:r>
    </w:p>
    <w:p>
      <w:pPr>
        <w:pStyle w:val="0"/>
        <w:spacing w:before="200" w:line-rule="auto"/>
        <w:ind w:firstLine="540"/>
        <w:jc w:val="both"/>
      </w:pPr>
      <w:r>
        <w:rPr>
          <w:sz w:val="20"/>
        </w:rPr>
        <w:t xml:space="preserve">7. Установить следующие целевые показатели и задачи, выполнение которых характеризует достижение национальной цели "Технологическое лидерство":</w:t>
      </w:r>
    </w:p>
    <w:p>
      <w:pPr>
        <w:pStyle w:val="0"/>
        <w:spacing w:before="200" w:line-rule="auto"/>
        <w:ind w:firstLine="540"/>
        <w:jc w:val="both"/>
      </w:pPr>
      <w:r>
        <w:rPr>
          <w:sz w:val="20"/>
        </w:rPr>
        <w:t xml:space="preserve">а) обеспечение технологической независимости и формирование новых рынков по таким направлениям, как биоэкономика, сбережение здоровья граждан, продовольственная безопасность, беспилотные авиационные системы, средства производства и автоматизации, транспортная мобильность (включая автономные транспортные средства), экономика данных и цифровая трансформация, искусственный интеллект, новые материалы и химия, перспективные космические технологии и сервисы, новые энергетические технологии (в том числе атомные);</w:t>
      </w:r>
    </w:p>
    <w:p>
      <w:pPr>
        <w:pStyle w:val="0"/>
        <w:spacing w:before="200" w:line-rule="auto"/>
        <w:ind w:firstLine="540"/>
        <w:jc w:val="both"/>
      </w:pPr>
      <w:r>
        <w:rPr>
          <w:sz w:val="20"/>
        </w:rPr>
        <w:t xml:space="preserve">б) увеличение к 2030 году уровня валовой добавленной стоимости в реальном выражении и индекса производства в обрабатывающей промышленности не менее чем на 40 процентов по сравнению с уровнем 2022 года;</w:t>
      </w:r>
    </w:p>
    <w:p>
      <w:pPr>
        <w:pStyle w:val="0"/>
        <w:spacing w:before="200" w:line-rule="auto"/>
        <w:ind w:firstLine="540"/>
        <w:jc w:val="both"/>
      </w:pPr>
      <w:r>
        <w:rPr>
          <w:sz w:val="20"/>
        </w:rPr>
        <w:t xml:space="preserve">в) обеспечение к 2030 году вхождения Российской Федерации в число 10 ведущих стран мира по объему научных исследований и разработок;</w:t>
      </w:r>
    </w:p>
    <w:p>
      <w:pPr>
        <w:pStyle w:val="0"/>
        <w:spacing w:before="200" w:line-rule="auto"/>
        <w:ind w:firstLine="540"/>
        <w:jc w:val="both"/>
      </w:pPr>
      <w:r>
        <w:rPr>
          <w:sz w:val="20"/>
        </w:rPr>
        <w:t xml:space="preserve">г) увеличение к 2030 году внутренних затрат на исследования и разработки не менее чем до 2 процентов валового внутреннего продукта, в том числе за счет увеличения инвестиций со стороны частного бизнеса на эти цели не менее чем в два раза;</w:t>
      </w:r>
    </w:p>
    <w:p>
      <w:pPr>
        <w:pStyle w:val="0"/>
        <w:spacing w:before="200" w:line-rule="auto"/>
        <w:ind w:firstLine="540"/>
        <w:jc w:val="both"/>
      </w:pPr>
      <w:r>
        <w:rPr>
          <w:sz w:val="20"/>
        </w:rPr>
        <w:t xml:space="preserve">д) увеличение к 2030 году доли отечественных высокотехнологичных товаров и услуг, созданных на основе собственных линий разработки, в общем объеме потребления таких товаров и услуг в Российской Федерации в полтора раза по сравнению с уровнем 2023 года;</w:t>
      </w:r>
    </w:p>
    <w:p>
      <w:pPr>
        <w:pStyle w:val="0"/>
        <w:spacing w:before="200" w:line-rule="auto"/>
        <w:ind w:firstLine="540"/>
        <w:jc w:val="both"/>
      </w:pPr>
      <w:r>
        <w:rPr>
          <w:sz w:val="20"/>
        </w:rPr>
        <w:t xml:space="preserve">е) увеличение к 2030 году выручки малых технологических компаний не менее чем в семь раз по сравнению с уровнем 2023 года.</w:t>
      </w:r>
    </w:p>
    <w:p>
      <w:pPr>
        <w:pStyle w:val="0"/>
        <w:spacing w:before="200" w:line-rule="auto"/>
        <w:ind w:firstLine="540"/>
        <w:jc w:val="both"/>
      </w:pPr>
      <w:r>
        <w:rPr>
          <w:sz w:val="20"/>
        </w:rPr>
        <w:t xml:space="preserve">8. Установить следующие целевые показатели и задачи, выполнение которых характеризует достижение национальной цели "Цифровая трансформация государственного и муниципального управления, экономики и социальной сферы":</w:t>
      </w:r>
    </w:p>
    <w:p>
      <w:pPr>
        <w:pStyle w:val="0"/>
        <w:spacing w:before="200" w:line-rule="auto"/>
        <w:ind w:firstLine="540"/>
        <w:jc w:val="both"/>
      </w:pPr>
      <w:r>
        <w:rPr>
          <w:sz w:val="20"/>
        </w:rPr>
        <w:t xml:space="preserve">а)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pPr>
        <w:pStyle w:val="0"/>
        <w:spacing w:before="200" w:line-rule="auto"/>
        <w:ind w:firstLine="540"/>
        <w:jc w:val="both"/>
      </w:pPr>
      <w:r>
        <w:rPr>
          <w:sz w:val="20"/>
        </w:rPr>
        <w:t xml:space="preserve">б) формирование рынка данных, их активное вовлечение в хозяйственный оборот, хранение, обмен и защита;</w:t>
      </w:r>
    </w:p>
    <w:p>
      <w:pPr>
        <w:pStyle w:val="0"/>
        <w:spacing w:before="200" w:line-rule="auto"/>
        <w:ind w:firstLine="540"/>
        <w:jc w:val="both"/>
      </w:pPr>
      <w:r>
        <w:rPr>
          <w:sz w:val="20"/>
        </w:rPr>
        <w:t xml:space="preserve">в) увеличение доли домохозяйств, которым обеспечена возможность качественного высокоскоростного широкополосного доступа к информационно-телекоммуникационной сети "Интернет", в том числе с использованием сетей (инфраструктуры) спутниковой и мобильной связи и с учетом роста пропускной способности магистральной инфраструктуры, до 97 процентов к 2030 году и до 99 процентов к 2036 году;</w:t>
      </w:r>
    </w:p>
    <w:p>
      <w:pPr>
        <w:pStyle w:val="0"/>
        <w:spacing w:before="200" w:line-rule="auto"/>
        <w:ind w:firstLine="540"/>
        <w:jc w:val="both"/>
      </w:pPr>
      <w:r>
        <w:rPr>
          <w:sz w:val="20"/>
        </w:rPr>
        <w:t xml:space="preserve">г) обеспечение в 2025 - 2030 годах темпа роста инвестиций в отечественные решения в сфере информационных технологий вдвое выше темпа роста валового внутреннего продукта;</w:t>
      </w:r>
    </w:p>
    <w:p>
      <w:pPr>
        <w:pStyle w:val="0"/>
        <w:spacing w:before="200" w:line-rule="auto"/>
        <w:ind w:firstLine="540"/>
        <w:jc w:val="both"/>
      </w:pPr>
      <w:r>
        <w:rPr>
          <w:sz w:val="20"/>
        </w:rPr>
        <w:t xml:space="preserve">д) переход к 2030 году не менее 80 процентов российских организаций ключевых отраслей экономики на использование базового и прикладного российского программного обеспечения в системах, обеспечивающих основные производственные и управленческие процессы;</w:t>
      </w:r>
    </w:p>
    <w:p>
      <w:pPr>
        <w:pStyle w:val="0"/>
        <w:spacing w:before="200" w:line-rule="auto"/>
        <w:ind w:firstLine="540"/>
        <w:jc w:val="both"/>
      </w:pPr>
      <w:r>
        <w:rPr>
          <w:sz w:val="20"/>
        </w:rPr>
        <w:t xml:space="preserve">е) увеличение к 2030 году до 95 процентов доли использования российского программного обеспечения в государственных органах, государственных корпорациях, государственных компаниях и хозяйственных обществах, в уставном капитале которых доля участия Российской Федерации в совокупности превышает 50 процентов, а также в их аффилированных юридических лицах;</w:t>
      </w:r>
    </w:p>
    <w:p>
      <w:pPr>
        <w:pStyle w:val="0"/>
        <w:spacing w:before="200" w:line-rule="auto"/>
        <w:ind w:firstLine="540"/>
        <w:jc w:val="both"/>
      </w:pPr>
      <w:r>
        <w:rPr>
          <w:sz w:val="20"/>
        </w:rPr>
        <w:t xml:space="preserve">ж) увеличение к 2030 году до 99 процентов доли предоставления массовых социально значимых государственных и муниципальных услуг в электронной форме,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 за счет внедрения в деятельность органов государственной власти единой цифровой платформы;</w:t>
      </w:r>
    </w:p>
    <w:p>
      <w:pPr>
        <w:pStyle w:val="0"/>
        <w:spacing w:before="200" w:line-rule="auto"/>
        <w:ind w:firstLine="540"/>
        <w:jc w:val="both"/>
      </w:pPr>
      <w:r>
        <w:rPr>
          <w:sz w:val="20"/>
        </w:rPr>
        <w:t xml:space="preserve">з) формирование системы подбора, развития и ротации кадров для органов государственной власти и органов местного самоуправления на основе принципов равных возможностей, приоритета профессиональных знаний и квалификаций, включая механизмы регулярной оценки и обратной связи в рамках единой цифровой платформы;</w:t>
      </w:r>
    </w:p>
    <w:p>
      <w:pPr>
        <w:pStyle w:val="0"/>
        <w:spacing w:before="200" w:line-rule="auto"/>
        <w:ind w:firstLine="540"/>
        <w:jc w:val="both"/>
      </w:pPr>
      <w:r>
        <w:rPr>
          <w:sz w:val="20"/>
        </w:rPr>
        <w:t xml:space="preserve">и) 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w:t>
      </w:r>
    </w:p>
    <w:p>
      <w:pPr>
        <w:pStyle w:val="0"/>
        <w:spacing w:before="200" w:line-rule="auto"/>
        <w:ind w:firstLine="540"/>
        <w:jc w:val="both"/>
      </w:pPr>
      <w:r>
        <w:rPr>
          <w:sz w:val="20"/>
        </w:rPr>
        <w:t xml:space="preserve">к) создание системы эффективного противодействия преступлениям, совершаемым с использованием информационно-телекоммуникационных технологий, и снижения ущерба от их совершения;</w:t>
      </w:r>
    </w:p>
    <w:p>
      <w:pPr>
        <w:pStyle w:val="0"/>
        <w:spacing w:before="200" w:line-rule="auto"/>
        <w:ind w:firstLine="540"/>
        <w:jc w:val="both"/>
      </w:pPr>
      <w:r>
        <w:rPr>
          <w:sz w:val="20"/>
        </w:rPr>
        <w:t xml:space="preserve">л) обеспечение сетевого суверенитета и информационной безопасности в информационно-телекоммуникационной сети "Интернет".</w:t>
      </w:r>
    </w:p>
    <w:p>
      <w:pPr>
        <w:pStyle w:val="0"/>
        <w:spacing w:before="200" w:line-rule="auto"/>
        <w:ind w:firstLine="540"/>
        <w:jc w:val="both"/>
      </w:pPr>
      <w:r>
        <w:rPr>
          <w:sz w:val="20"/>
        </w:rPr>
        <w:t xml:space="preserve">9. Правительству Российской Федерации:</w:t>
      </w:r>
    </w:p>
    <w:p>
      <w:pPr>
        <w:pStyle w:val="0"/>
        <w:spacing w:before="200" w:line-rule="auto"/>
        <w:ind w:firstLine="540"/>
        <w:jc w:val="both"/>
      </w:pPr>
      <w:r>
        <w:rPr>
          <w:sz w:val="20"/>
        </w:rPr>
        <w:t xml:space="preserve">а) до 1 сентября 2024 г. для достижения национальных целей, целевых показателей и выполнения задач, предусмотренных настоящим Указом, разработать (скорректировать)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блок национальных проектов по обеспечению технологического лидерства, а также следующие национальные проекты:</w:t>
      </w:r>
    </w:p>
    <w:p>
      <w:pPr>
        <w:pStyle w:val="0"/>
        <w:spacing w:before="200" w:line-rule="auto"/>
        <w:ind w:firstLine="540"/>
        <w:jc w:val="both"/>
      </w:pPr>
      <w:r>
        <w:rPr>
          <w:sz w:val="20"/>
        </w:rPr>
        <w:t xml:space="preserve">"Продолжительная и активная жизнь";</w:t>
      </w:r>
    </w:p>
    <w:p>
      <w:pPr>
        <w:pStyle w:val="0"/>
        <w:spacing w:before="200" w:line-rule="auto"/>
        <w:ind w:firstLine="540"/>
        <w:jc w:val="both"/>
      </w:pPr>
      <w:r>
        <w:rPr>
          <w:sz w:val="20"/>
        </w:rPr>
        <w:t xml:space="preserve">"Семья";</w:t>
      </w:r>
    </w:p>
    <w:p>
      <w:pPr>
        <w:pStyle w:val="0"/>
        <w:spacing w:before="200" w:line-rule="auto"/>
        <w:ind w:firstLine="540"/>
        <w:jc w:val="both"/>
      </w:pPr>
      <w:r>
        <w:rPr>
          <w:sz w:val="20"/>
        </w:rPr>
        <w:t xml:space="preserve">"Молодежь и дети";</w:t>
      </w:r>
    </w:p>
    <w:p>
      <w:pPr>
        <w:pStyle w:val="0"/>
        <w:spacing w:before="200" w:line-rule="auto"/>
        <w:ind w:firstLine="540"/>
        <w:jc w:val="both"/>
      </w:pPr>
      <w:r>
        <w:rPr>
          <w:sz w:val="20"/>
        </w:rPr>
        <w:t xml:space="preserve">"Кадры";</w:t>
      </w:r>
    </w:p>
    <w:p>
      <w:pPr>
        <w:pStyle w:val="0"/>
        <w:spacing w:before="200" w:line-rule="auto"/>
        <w:ind w:firstLine="540"/>
        <w:jc w:val="both"/>
      </w:pPr>
      <w:r>
        <w:rPr>
          <w:sz w:val="20"/>
        </w:rPr>
        <w:t xml:space="preserve">"Инфраструктура для жизни";</w:t>
      </w:r>
    </w:p>
    <w:p>
      <w:pPr>
        <w:pStyle w:val="0"/>
        <w:spacing w:before="200" w:line-rule="auto"/>
        <w:ind w:firstLine="540"/>
        <w:jc w:val="both"/>
      </w:pPr>
      <w:r>
        <w:rPr>
          <w:sz w:val="20"/>
        </w:rPr>
        <w:t xml:space="preserve">"Эффективная транспортная система";</w:t>
      </w:r>
    </w:p>
    <w:p>
      <w:pPr>
        <w:pStyle w:val="0"/>
        <w:spacing w:before="200" w:line-rule="auto"/>
        <w:ind w:firstLine="540"/>
        <w:jc w:val="both"/>
      </w:pPr>
      <w:r>
        <w:rPr>
          <w:sz w:val="20"/>
        </w:rPr>
        <w:t xml:space="preserve">"Экологическое благополучие";</w:t>
      </w:r>
    </w:p>
    <w:p>
      <w:pPr>
        <w:pStyle w:val="0"/>
        <w:spacing w:before="200" w:line-rule="auto"/>
        <w:ind w:firstLine="540"/>
        <w:jc w:val="both"/>
      </w:pPr>
      <w:r>
        <w:rPr>
          <w:sz w:val="20"/>
        </w:rPr>
        <w:t xml:space="preserve">"Эффективная и конкурентная экономика";</w:t>
      </w:r>
    </w:p>
    <w:p>
      <w:pPr>
        <w:pStyle w:val="0"/>
        <w:spacing w:before="200" w:line-rule="auto"/>
        <w:ind w:firstLine="540"/>
        <w:jc w:val="both"/>
      </w:pPr>
      <w:r>
        <w:rPr>
          <w:sz w:val="20"/>
        </w:rPr>
        <w:t xml:space="preserve">"Туризм и гостеприимство";</w:t>
      </w:r>
    </w:p>
    <w:p>
      <w:pPr>
        <w:pStyle w:val="0"/>
        <w:spacing w:before="200" w:line-rule="auto"/>
        <w:ind w:firstLine="540"/>
        <w:jc w:val="both"/>
      </w:pPr>
      <w:r>
        <w:rPr>
          <w:sz w:val="20"/>
        </w:rPr>
        <w:t xml:space="preserve">"Международная кооперация и экспорт";</w:t>
      </w:r>
    </w:p>
    <w:p>
      <w:pPr>
        <w:pStyle w:val="0"/>
        <w:spacing w:before="200" w:line-rule="auto"/>
        <w:ind w:firstLine="540"/>
        <w:jc w:val="both"/>
      </w:pPr>
      <w:r>
        <w:rPr>
          <w:sz w:val="20"/>
        </w:rPr>
        <w:t xml:space="preserve">"Экономика данных и цифровая трансформация государства";</w:t>
      </w:r>
    </w:p>
    <w:p>
      <w:pPr>
        <w:pStyle w:val="0"/>
        <w:spacing w:before="200" w:line-rule="auto"/>
        <w:ind w:firstLine="540"/>
        <w:jc w:val="both"/>
      </w:pPr>
      <w:r>
        <w:rPr>
          <w:sz w:val="20"/>
        </w:rPr>
        <w:t xml:space="preserve">б) до 1 сентября 2024 г. привести свои акты в соответствие с настоящим Указом и представить предложения по приведению актов Президента Российской Федерации в соответствие с настоящим Указом;</w:t>
      </w:r>
    </w:p>
    <w:p>
      <w:pPr>
        <w:pStyle w:val="0"/>
        <w:spacing w:before="200" w:line-rule="auto"/>
        <w:ind w:firstLine="540"/>
        <w:jc w:val="both"/>
      </w:pPr>
      <w:r>
        <w:rPr>
          <w:sz w:val="20"/>
        </w:rPr>
        <w:t xml:space="preserve">в) до 31 декабря 2024 г.:</w:t>
      </w:r>
    </w:p>
    <w:p>
      <w:pPr>
        <w:pStyle w:val="0"/>
        <w:spacing w:before="200" w:line-rule="auto"/>
        <w:ind w:firstLine="540"/>
        <w:jc w:val="both"/>
      </w:pPr>
      <w:r>
        <w:rPr>
          <w:sz w:val="20"/>
        </w:rPr>
        <w:t xml:space="preserve">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2030 года и на перспективу до 2036 года;</w:t>
      </w:r>
    </w:p>
    <w:p>
      <w:pPr>
        <w:pStyle w:val="0"/>
        <w:spacing w:before="200" w:line-rule="auto"/>
        <w:ind w:firstLine="540"/>
        <w:jc w:val="both"/>
      </w:pPr>
      <w:r>
        <w:rPr>
          <w:sz w:val="20"/>
        </w:rPr>
        <w:t xml:space="preserve">разработать и утвердить стратегию пространственного развития Российской Федерации на период до 2030 года;</w:t>
      </w:r>
    </w:p>
    <w:p>
      <w:pPr>
        <w:pStyle w:val="0"/>
        <w:spacing w:before="200" w:line-rule="auto"/>
        <w:ind w:firstLine="540"/>
        <w:jc w:val="both"/>
      </w:pPr>
      <w:r>
        <w:rPr>
          <w:sz w:val="20"/>
        </w:rPr>
        <w:t xml:space="preserve">г) до 1 июля 2025 г. разработать с использованием единой цифровой картографической основы Российской Федерации и утвердить комплексный план развития транспортной, энергетической, телекоммуникационной, социальной и иной инфраструктуры на период до 2036 года, необходимой для реализации национальных целей;</w:t>
      </w:r>
    </w:p>
    <w:p>
      <w:pPr>
        <w:pStyle w:val="0"/>
        <w:spacing w:before="200" w:line-rule="auto"/>
        <w:ind w:firstLine="540"/>
        <w:jc w:val="both"/>
      </w:pPr>
      <w:r>
        <w:rPr>
          <w:sz w:val="20"/>
        </w:rPr>
        <w:t xml:space="preserve">д)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w:t>
      </w:r>
    </w:p>
    <w:p>
      <w:pPr>
        <w:pStyle w:val="0"/>
        <w:spacing w:before="200" w:line-rule="auto"/>
        <w:ind w:firstLine="540"/>
        <w:jc w:val="both"/>
      </w:pPr>
      <w:r>
        <w:rPr>
          <w:sz w:val="20"/>
        </w:rPr>
        <w:t xml:space="preserve">е) обеспечить направление в приоритетном порядке дополнительных доходов федерального бюджета, образуемых в ходе его исполнения, на реализацию национальных целей.</w:t>
      </w:r>
    </w:p>
    <w:p>
      <w:pPr>
        <w:pStyle w:val="0"/>
        <w:spacing w:before="200" w:line-rule="auto"/>
        <w:ind w:firstLine="540"/>
        <w:jc w:val="both"/>
      </w:pPr>
      <w:r>
        <w:rPr>
          <w:sz w:val="20"/>
        </w:rPr>
        <w:t xml:space="preserve">10. Администрации Президента Российской Федерации совместно с Государственным Советом Российской Федерации:</w:t>
      </w:r>
    </w:p>
    <w:p>
      <w:pPr>
        <w:pStyle w:val="0"/>
        <w:spacing w:before="200" w:line-rule="auto"/>
        <w:ind w:firstLine="540"/>
        <w:jc w:val="both"/>
      </w:pPr>
      <w:r>
        <w:rPr>
          <w:sz w:val="20"/>
        </w:rPr>
        <w:t xml:space="preserve">а) разработать и до 1 октября 2024 г. представить предложения по приведению </w:t>
      </w:r>
      <w:hyperlink w:history="0" r:id="rId9"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КонсультантПлюс}">
        <w:r>
          <w:rPr>
            <w:sz w:val="20"/>
            <w:color w:val="0000ff"/>
          </w:rPr>
          <w:t xml:space="preserve">Указа</w:t>
        </w:r>
      </w:hyperlink>
      <w:r>
        <w:rPr>
          <w:sz w:val="20"/>
        </w:rPr>
        <w:t xml:space="preserve"> Президента Российской Федерации от 4 февраля 2021 г.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соответствие с настоящим Указом;</w:t>
      </w:r>
    </w:p>
    <w:p>
      <w:pPr>
        <w:pStyle w:val="0"/>
        <w:spacing w:before="200" w:line-rule="auto"/>
        <w:ind w:firstLine="540"/>
        <w:jc w:val="both"/>
      </w:pPr>
      <w:r>
        <w:rPr>
          <w:sz w:val="20"/>
        </w:rPr>
        <w:t xml:space="preserve">б) определить социологические показатели достижения национальных целей, целевых показателей и выполнения задач, предусмотренных настоящим Указом, а также обеспечить постоянный мониторинг таких социологических показателей.</w:t>
      </w:r>
    </w:p>
    <w:p>
      <w:pPr>
        <w:pStyle w:val="0"/>
        <w:spacing w:before="200" w:line-rule="auto"/>
        <w:ind w:firstLine="540"/>
        <w:jc w:val="both"/>
      </w:pPr>
      <w:r>
        <w:rPr>
          <w:sz w:val="20"/>
        </w:rPr>
        <w:t xml:space="preserve">11. Признать утратившим силу </w:t>
      </w:r>
      <w:hyperlink w:history="0" r:id="rId10"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sz w:val="20"/>
            <w:color w:val="0000ff"/>
          </w:rPr>
          <w:t xml:space="preserve">Указ</w:t>
        </w:r>
      </w:hyperlink>
      <w:r>
        <w:rPr>
          <w:sz w:val="20"/>
        </w:rP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pPr>
        <w:pStyle w:val="0"/>
        <w:spacing w:before="200" w:line-rule="auto"/>
        <w:ind w:firstLine="540"/>
        <w:jc w:val="both"/>
      </w:pPr>
      <w:r>
        <w:rPr>
          <w:sz w:val="20"/>
        </w:rPr>
        <w:t xml:space="preserve">12.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7 мая 2024 года</w:t>
      </w:r>
    </w:p>
    <w:p>
      <w:pPr>
        <w:pStyle w:val="0"/>
        <w:spacing w:before="200" w:line-rule="auto"/>
      </w:pPr>
      <w:r>
        <w:rPr>
          <w:sz w:val="20"/>
        </w:rPr>
        <w:t xml:space="preserve">N 309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07.05.2024 N 309</w:t>
            <w:br/>
            <w:t>"О национальных целях развития Российской Федерации на период до 2030 года и на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26.07.2024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Указ Президента РФ от 07.05.2024 N 309 "О национальных целях развития Российской Федерации на период до 2030 года и на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129344" TargetMode = "External"/>
	<Relationship Id="rId7" Type="http://schemas.openxmlformats.org/officeDocument/2006/relationships/hyperlink" Target="https://login.consultant.ru/link/?req=doc&amp;base=LAW&amp;n=130516" TargetMode = "External"/>
	<Relationship Id="rId8" Type="http://schemas.openxmlformats.org/officeDocument/2006/relationships/hyperlink" Target="https://login.consultant.ru/link/?req=doc&amp;base=LAW&amp;n=282758" TargetMode = "External"/>
	<Relationship Id="rId9" Type="http://schemas.openxmlformats.org/officeDocument/2006/relationships/hyperlink" Target="https://login.consultant.ru/link/?req=doc&amp;base=LAW&amp;n=426376" TargetMode = "External"/>
	<Relationship Id="rId10" Type="http://schemas.openxmlformats.org/officeDocument/2006/relationships/hyperlink" Target="https://login.consultant.ru/link/?req=doc&amp;base=LAW&amp;n=35792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07.05.2024 N 309
"О национальных целях развития Российской Федерации на период до 2030 года и на перспективу до 2036 года"</dc:title>
  <dcterms:created xsi:type="dcterms:W3CDTF">2024-07-25T21:35:33Z</dcterms:created>
</cp:coreProperties>
</file>