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Объявление</w:t>
      </w:r>
    </w:p>
    <w:p>
      <w:pPr>
        <w:pStyle w:val="Normal"/>
        <w:jc w:val="center"/>
        <w:rPr>
          <w:rFonts w:eastAsia="Calibri"/>
          <w:szCs w:val="28"/>
          <w:lang w:eastAsia="en-US"/>
        </w:rPr>
      </w:pPr>
      <w:r>
        <w:rPr>
          <w:szCs w:val="28"/>
        </w:rPr>
        <w:t xml:space="preserve">о проведении отбора получателей </w:t>
      </w:r>
      <w:r>
        <w:rPr>
          <w:spacing w:val="4"/>
          <w:szCs w:val="28"/>
        </w:rPr>
        <w:t xml:space="preserve">из краевого бюджета </w:t>
      </w:r>
      <w:r>
        <w:rPr>
          <w:rFonts w:eastAsia="Calibri" w:eastAsiaTheme="minorHAnsi"/>
          <w:szCs w:val="28"/>
          <w:lang w:eastAsia="en-US"/>
        </w:rPr>
        <w:t>субсидии юридическим лицам, осуществляющим деятельность в сфере водоотведения в Камчатском крае, на финансовое обеспечение отдельных затрат в связи с оказанием услуг по водоотведению</w:t>
      </w:r>
    </w:p>
    <w:p>
      <w:pPr>
        <w:pStyle w:val="Normal"/>
        <w:jc w:val="center"/>
        <w:rPr>
          <w:rFonts w:eastAsia="Calibri"/>
          <w:szCs w:val="28"/>
          <w:lang w:eastAsia="en-US"/>
        </w:rPr>
      </w:pPr>
      <w:r>
        <w:rPr>
          <w:rFonts w:eastAsia="Calibri" w:eastAsiaTheme="minorHAnsi"/>
          <w:szCs w:val="28"/>
          <w:lang w:eastAsia="en-US"/>
        </w:rPr>
        <w:t xml:space="preserve"> </w:t>
      </w:r>
    </w:p>
    <w:p>
      <w:pPr>
        <w:pStyle w:val="Normal"/>
        <w:ind w:firstLine="709"/>
        <w:jc w:val="both"/>
        <w:rPr>
          <w:rFonts w:eastAsia="Calibri"/>
          <w:szCs w:val="28"/>
          <w:lang w:eastAsia="en-US"/>
        </w:rPr>
      </w:pPr>
      <w:r>
        <w:rPr>
          <w:szCs w:val="28"/>
        </w:rPr>
        <w:t xml:space="preserve">Министерством жилищно-коммунального хозяйства и энергетики Камчатского края (далее – Министерство) объявлен отбор получателей </w:t>
      </w:r>
      <w:r>
        <w:rPr>
          <w:spacing w:val="4"/>
          <w:szCs w:val="28"/>
        </w:rPr>
        <w:t xml:space="preserve">из краевого бюджета </w:t>
      </w:r>
      <w:r>
        <w:rPr>
          <w:rFonts w:eastAsia="Calibri" w:eastAsiaTheme="minorHAnsi"/>
          <w:szCs w:val="28"/>
          <w:lang w:eastAsia="en-US"/>
        </w:rPr>
        <w:t xml:space="preserve">субсидии юридическим лицам, осуществляющим деятельность в сфере водоотведения в Камчатском крае, на финансовое обеспечение отдельных затрат в связи с оказанием услуг по водоотведению </w:t>
      </w:r>
      <w:r>
        <w:rPr>
          <w:szCs w:val="28"/>
        </w:rPr>
        <w:t>на 202</w:t>
      </w:r>
      <w:r>
        <w:rPr>
          <w:szCs w:val="28"/>
        </w:rPr>
        <w:t>4</w:t>
      </w:r>
      <w:r>
        <w:rPr>
          <w:szCs w:val="28"/>
        </w:rPr>
        <w:t xml:space="preserve"> год, проводимый в соответствии с Порядком </w:t>
      </w:r>
      <w:r>
        <w:rPr>
          <w:rFonts w:eastAsia="Calibri" w:eastAsiaTheme="minorHAnsi"/>
          <w:szCs w:val="28"/>
          <w:lang w:eastAsia="en-US"/>
        </w:rPr>
        <w:t>предоставления субсидии из краевого бюджета юридическим лицам, осуществляющим деятельность в сфере водоотведения в Камчатском крае, на финансовое обеспечение отдельных затрат в связи с оказанием услуг по водоотведению</w:t>
      </w:r>
      <w:r>
        <w:rPr>
          <w:szCs w:val="28"/>
        </w:rPr>
        <w:t>, утвержденным постановлением Правительства Камчатского края от 28.11.2022 № 614-П  (далее – Порядок).</w:t>
      </w:r>
    </w:p>
    <w:p>
      <w:pPr>
        <w:pStyle w:val="Normal"/>
        <w:tabs>
          <w:tab w:val="clear" w:pos="708"/>
          <w:tab w:val="left" w:pos="851" w:leader="none"/>
        </w:tabs>
        <w:ind w:firstLine="709"/>
        <w:jc w:val="both"/>
        <w:rPr>
          <w:szCs w:val="28"/>
        </w:rPr>
      </w:pPr>
      <w:r>
        <w:rPr>
          <w:szCs w:val="28"/>
        </w:rPr>
      </w:r>
    </w:p>
    <w:tbl>
      <w:tblPr>
        <w:tblStyle w:val="a3"/>
        <w:tblW w:w="9781"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704"/>
        <w:gridCol w:w="2273"/>
        <w:gridCol w:w="6804"/>
      </w:tblGrid>
      <w:tr>
        <w:trPr>
          <w:tblHeader w:val="true"/>
        </w:trPr>
        <w:tc>
          <w:tcPr>
            <w:tcW w:w="704" w:type="dxa"/>
            <w:tcBorders/>
          </w:tcPr>
          <w:p>
            <w:pPr>
              <w:pStyle w:val="Normal"/>
              <w:widowControl/>
              <w:tabs>
                <w:tab w:val="clear" w:pos="708"/>
                <w:tab w:val="left" w:pos="851" w:leader="none"/>
              </w:tabs>
              <w:spacing w:before="0" w:after="0"/>
              <w:jc w:val="center"/>
              <w:rPr>
                <w:szCs w:val="28"/>
              </w:rPr>
            </w:pPr>
            <w:r>
              <w:rPr>
                <w:kern w:val="0"/>
                <w:szCs w:val="28"/>
                <w:lang w:val="ru-RU" w:bidi="ar-SA"/>
              </w:rPr>
              <w:t>1</w:t>
            </w:r>
          </w:p>
        </w:tc>
        <w:tc>
          <w:tcPr>
            <w:tcW w:w="2273" w:type="dxa"/>
            <w:tcBorders/>
          </w:tcPr>
          <w:p>
            <w:pPr>
              <w:pStyle w:val="Normal"/>
              <w:widowControl/>
              <w:spacing w:before="0" w:after="0"/>
              <w:jc w:val="center"/>
              <w:rPr>
                <w:szCs w:val="28"/>
              </w:rPr>
            </w:pPr>
            <w:r>
              <w:rPr>
                <w:kern w:val="0"/>
                <w:szCs w:val="28"/>
                <w:lang w:val="ru-RU" w:bidi="ar-SA"/>
              </w:rPr>
              <w:t>2</w:t>
            </w:r>
          </w:p>
        </w:tc>
        <w:tc>
          <w:tcPr>
            <w:tcW w:w="6804" w:type="dxa"/>
            <w:tcBorders/>
          </w:tcPr>
          <w:p>
            <w:pPr>
              <w:pStyle w:val="Normal"/>
              <w:widowControl/>
              <w:tabs>
                <w:tab w:val="clear" w:pos="708"/>
                <w:tab w:val="left" w:pos="851" w:leader="none"/>
              </w:tabs>
              <w:spacing w:before="0" w:after="0"/>
              <w:jc w:val="center"/>
              <w:rPr>
                <w:szCs w:val="28"/>
              </w:rPr>
            </w:pPr>
            <w:r>
              <w:rPr>
                <w:kern w:val="0"/>
                <w:szCs w:val="28"/>
                <w:lang w:val="ru-RU" w:bidi="ar-SA"/>
              </w:rPr>
              <w:t>3</w:t>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1.</w:t>
            </w:r>
          </w:p>
        </w:tc>
        <w:tc>
          <w:tcPr>
            <w:tcW w:w="2273" w:type="dxa"/>
            <w:tcBorders/>
          </w:tcPr>
          <w:p>
            <w:pPr>
              <w:pStyle w:val="Normal"/>
              <w:widowControl/>
              <w:spacing w:before="0" w:after="0"/>
              <w:jc w:val="left"/>
              <w:rPr>
                <w:szCs w:val="28"/>
              </w:rPr>
            </w:pPr>
            <w:r>
              <w:rPr>
                <w:kern w:val="0"/>
                <w:szCs w:val="28"/>
                <w:lang w:val="ru-RU" w:bidi="ar-SA"/>
              </w:rPr>
              <w:t>Срок проведения отбора</w:t>
            </w:r>
          </w:p>
        </w:tc>
        <w:tc>
          <w:tcPr>
            <w:tcW w:w="6804" w:type="dxa"/>
            <w:tcBorders/>
          </w:tcPr>
          <w:p>
            <w:pPr>
              <w:pStyle w:val="Normal"/>
              <w:widowControl/>
              <w:tabs>
                <w:tab w:val="clear" w:pos="708"/>
                <w:tab w:val="left" w:pos="851" w:leader="none"/>
              </w:tabs>
              <w:spacing w:before="0" w:after="0"/>
              <w:jc w:val="both"/>
              <w:rPr>
                <w:szCs w:val="28"/>
              </w:rPr>
            </w:pPr>
            <w:r>
              <w:rPr>
                <w:kern w:val="0"/>
                <w:szCs w:val="28"/>
                <w:lang w:val="ru-RU" w:bidi="ar-SA"/>
              </w:rPr>
              <w:t xml:space="preserve">с </w:t>
            </w:r>
            <w:r>
              <w:rPr>
                <w:kern w:val="0"/>
                <w:szCs w:val="28"/>
                <w:lang w:val="ru-RU" w:bidi="ar-SA"/>
              </w:rPr>
              <w:t>01</w:t>
            </w:r>
            <w:r>
              <w:rPr>
                <w:kern w:val="0"/>
                <w:szCs w:val="28"/>
                <w:lang w:val="ru-RU" w:bidi="ar-SA"/>
              </w:rPr>
              <w:t>.0</w:t>
            </w:r>
            <w:r>
              <w:rPr>
                <w:kern w:val="0"/>
                <w:szCs w:val="28"/>
                <w:lang w:val="ru-RU" w:bidi="ar-SA"/>
              </w:rPr>
              <w:t>4</w:t>
            </w:r>
            <w:r>
              <w:rPr>
                <w:kern w:val="0"/>
                <w:szCs w:val="28"/>
                <w:lang w:val="ru-RU" w:bidi="ar-SA"/>
              </w:rPr>
              <w:t>.202</w:t>
            </w:r>
            <w:r>
              <w:rPr>
                <w:kern w:val="0"/>
                <w:szCs w:val="28"/>
                <w:lang w:val="ru-RU" w:bidi="ar-SA"/>
              </w:rPr>
              <w:t>4</w:t>
            </w:r>
            <w:r>
              <w:rPr>
                <w:kern w:val="0"/>
                <w:szCs w:val="28"/>
                <w:lang w:val="ru-RU" w:bidi="ar-SA"/>
              </w:rPr>
              <w:t xml:space="preserve"> по </w:t>
            </w:r>
            <w:r>
              <w:rPr>
                <w:kern w:val="0"/>
                <w:szCs w:val="28"/>
                <w:lang w:val="ru-RU" w:bidi="ar-SA"/>
              </w:rPr>
              <w:t>10</w:t>
            </w:r>
            <w:r>
              <w:rPr>
                <w:kern w:val="0"/>
                <w:szCs w:val="28"/>
                <w:lang w:val="ru-RU" w:bidi="ar-SA"/>
              </w:rPr>
              <w:t>.0</w:t>
            </w:r>
            <w:r>
              <w:rPr>
                <w:kern w:val="0"/>
                <w:szCs w:val="28"/>
                <w:lang w:val="ru-RU" w:bidi="ar-SA"/>
              </w:rPr>
              <w:t>4</w:t>
            </w:r>
            <w:r>
              <w:rPr>
                <w:kern w:val="0"/>
                <w:szCs w:val="28"/>
                <w:lang w:val="ru-RU" w:bidi="ar-SA"/>
              </w:rPr>
              <w:t>.202</w:t>
            </w:r>
            <w:r>
              <w:rPr>
                <w:kern w:val="0"/>
                <w:szCs w:val="28"/>
                <w:lang w:val="ru-RU" w:bidi="ar-SA"/>
              </w:rPr>
              <w:t>4</w:t>
            </w:r>
            <w:r>
              <w:rPr>
                <w:kern w:val="0"/>
                <w:szCs w:val="28"/>
                <w:lang w:val="ru-RU" w:bidi="ar-SA"/>
              </w:rPr>
              <w:t xml:space="preserve"> (включительно)</w:t>
            </w:r>
          </w:p>
          <w:p>
            <w:pPr>
              <w:pStyle w:val="Normal"/>
              <w:widowControl/>
              <w:tabs>
                <w:tab w:val="clear" w:pos="708"/>
                <w:tab w:val="left" w:pos="851" w:leader="none"/>
              </w:tabs>
              <w:spacing w:before="0" w:after="0"/>
              <w:jc w:val="both"/>
              <w:rPr>
                <w:szCs w:val="28"/>
              </w:rPr>
            </w:pPr>
            <w:r>
              <w:rPr>
                <w:kern w:val="0"/>
                <w:szCs w:val="28"/>
                <w:lang w:val="ru-RU" w:bidi="ar-SA"/>
              </w:rPr>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2.</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 xml:space="preserve">Дата начала подачи приема заявок </w:t>
            </w:r>
          </w:p>
        </w:tc>
        <w:tc>
          <w:tcPr>
            <w:tcW w:w="6804" w:type="dxa"/>
            <w:tcBorders/>
          </w:tcPr>
          <w:p>
            <w:pPr>
              <w:pStyle w:val="Normal"/>
              <w:widowControl/>
              <w:tabs>
                <w:tab w:val="clear" w:pos="708"/>
                <w:tab w:val="left" w:pos="851" w:leader="none"/>
              </w:tabs>
              <w:spacing w:before="0" w:after="0"/>
              <w:jc w:val="both"/>
              <w:rPr>
                <w:szCs w:val="28"/>
              </w:rPr>
            </w:pPr>
            <w:r>
              <w:rPr>
                <w:kern w:val="0"/>
                <w:szCs w:val="28"/>
                <w:lang w:val="ru-RU" w:bidi="ar-SA"/>
              </w:rPr>
              <w:t>01</w:t>
            </w:r>
            <w:r>
              <w:rPr>
                <w:kern w:val="0"/>
                <w:szCs w:val="28"/>
                <w:lang w:val="ru-RU" w:bidi="ar-SA"/>
              </w:rPr>
              <w:t>.0</w:t>
            </w:r>
            <w:r>
              <w:rPr>
                <w:kern w:val="0"/>
                <w:szCs w:val="28"/>
                <w:lang w:val="ru-RU" w:bidi="ar-SA"/>
              </w:rPr>
              <w:t>4</w:t>
            </w:r>
            <w:r>
              <w:rPr>
                <w:kern w:val="0"/>
                <w:szCs w:val="28"/>
                <w:lang w:val="ru-RU" w:bidi="ar-SA"/>
              </w:rPr>
              <w:t>.202</w:t>
            </w:r>
            <w:r>
              <w:rPr>
                <w:kern w:val="0"/>
                <w:szCs w:val="28"/>
                <w:lang w:val="ru-RU" w:bidi="ar-SA"/>
              </w:rPr>
              <w:t>4</w:t>
            </w:r>
          </w:p>
          <w:p>
            <w:pPr>
              <w:pStyle w:val="Normal"/>
              <w:widowControl/>
              <w:tabs>
                <w:tab w:val="clear" w:pos="708"/>
                <w:tab w:val="left" w:pos="851" w:leader="none"/>
              </w:tabs>
              <w:spacing w:before="0" w:after="0"/>
              <w:jc w:val="both"/>
              <w:rPr>
                <w:szCs w:val="28"/>
              </w:rPr>
            </w:pPr>
            <w:r>
              <w:rPr>
                <w:kern w:val="0"/>
                <w:szCs w:val="28"/>
                <w:lang w:val="ru-RU" w:bidi="ar-SA"/>
              </w:rPr>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3.</w:t>
            </w:r>
          </w:p>
        </w:tc>
        <w:tc>
          <w:tcPr>
            <w:tcW w:w="2273" w:type="dxa"/>
            <w:tcBorders/>
          </w:tcPr>
          <w:p>
            <w:pPr>
              <w:pStyle w:val="Normal"/>
              <w:widowControl/>
              <w:spacing w:before="0" w:after="0"/>
              <w:jc w:val="left"/>
              <w:rPr>
                <w:szCs w:val="28"/>
              </w:rPr>
            </w:pPr>
            <w:r>
              <w:rPr>
                <w:kern w:val="0"/>
                <w:szCs w:val="28"/>
                <w:lang w:val="ru-RU" w:bidi="ar-SA"/>
              </w:rPr>
              <w:t>Результат предоставления субсидии</w:t>
            </w:r>
          </w:p>
        </w:tc>
        <w:tc>
          <w:tcPr>
            <w:tcW w:w="6804" w:type="dxa"/>
            <w:tcBorders/>
          </w:tcPr>
          <w:p>
            <w:pPr>
              <w:pStyle w:val="Normal"/>
              <w:widowControl/>
              <w:spacing w:before="0" w:after="0"/>
              <w:ind w:firstLine="598"/>
              <w:jc w:val="both"/>
              <w:rPr>
                <w:rFonts w:eastAsia="Calibri"/>
                <w:szCs w:val="28"/>
                <w:lang w:eastAsia="en-US"/>
              </w:rPr>
            </w:pPr>
            <w:r>
              <w:rPr>
                <w:kern w:val="0"/>
                <w:szCs w:val="28"/>
                <w:lang w:val="ru-RU" w:bidi="ar-SA"/>
              </w:rPr>
              <w:t xml:space="preserve">Результатом предоставления субсидии является </w:t>
            </w:r>
            <w:r>
              <w:rPr>
                <w:rFonts w:eastAsia="Calibri" w:eastAsiaTheme="minorHAnsi"/>
                <w:kern w:val="0"/>
                <w:szCs w:val="28"/>
                <w:lang w:val="ru-RU" w:eastAsia="en-US" w:bidi="ar-SA"/>
              </w:rPr>
              <w:t xml:space="preserve">объем ила стабилизированного биологических очистных сооружений хозяйственно-бытовых сточных вод, возникших в связи с оказанием услуг по водоотведению, который </w:t>
            </w:r>
            <w:r>
              <w:rPr>
                <w:rFonts w:eastAsia="Calibri" w:eastAsiaTheme="minorHAnsi"/>
                <w:i/>
                <w:kern w:val="0"/>
                <w:szCs w:val="28"/>
                <w:lang w:val="ru-RU" w:eastAsia="en-US" w:bidi="ar-SA"/>
              </w:rPr>
              <w:t>(объем)</w:t>
            </w:r>
            <w:r>
              <w:rPr>
                <w:rFonts w:eastAsia="Calibri" w:eastAsiaTheme="minorHAnsi"/>
                <w:kern w:val="0"/>
                <w:szCs w:val="28"/>
                <w:lang w:val="ru-RU" w:eastAsia="en-US" w:bidi="ar-SA"/>
              </w:rPr>
              <w:t xml:space="preserve"> транспортирован, захоронен (или утилизирован), выраженный в кубических метрах, за 202</w:t>
            </w:r>
            <w:r>
              <w:rPr>
                <w:rFonts w:eastAsia="Calibri" w:eastAsiaTheme="minorHAnsi"/>
                <w:kern w:val="0"/>
                <w:szCs w:val="28"/>
                <w:lang w:val="ru-RU" w:eastAsia="en-US" w:bidi="ar-SA"/>
              </w:rPr>
              <w:t>4</w:t>
            </w:r>
            <w:r>
              <w:rPr>
                <w:rFonts w:eastAsia="Calibri" w:eastAsiaTheme="minorHAnsi"/>
                <w:kern w:val="0"/>
                <w:szCs w:val="28"/>
                <w:lang w:val="ru-RU" w:eastAsia="en-US" w:bidi="ar-SA"/>
              </w:rPr>
              <w:t xml:space="preserve"> год по состоянию на 31 декабря 202</w:t>
            </w:r>
            <w:r>
              <w:rPr>
                <w:rFonts w:eastAsia="Calibri" w:eastAsiaTheme="minorHAnsi"/>
                <w:kern w:val="0"/>
                <w:szCs w:val="28"/>
                <w:lang w:val="ru-RU" w:eastAsia="en-US" w:bidi="ar-SA"/>
              </w:rPr>
              <w:t>4</w:t>
            </w:r>
            <w:r>
              <w:rPr>
                <w:rFonts w:eastAsia="Calibri" w:eastAsiaTheme="minorHAnsi"/>
                <w:kern w:val="0"/>
                <w:szCs w:val="28"/>
                <w:lang w:val="ru-RU" w:eastAsia="en-US" w:bidi="ar-SA"/>
              </w:rPr>
              <w:t xml:space="preserve"> года.</w:t>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4.</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 xml:space="preserve">Проведение отбора осуществляется на официальном сайте Министерства жилищно-коммунального хозяйства и энергетики Камчатского края </w:t>
            </w:r>
          </w:p>
        </w:tc>
        <w:tc>
          <w:tcPr>
            <w:tcW w:w="6804" w:type="dxa"/>
            <w:tcBorders/>
          </w:tcPr>
          <w:p>
            <w:pPr>
              <w:pStyle w:val="Normal"/>
              <w:widowControl/>
              <w:tabs>
                <w:tab w:val="clear" w:pos="708"/>
                <w:tab w:val="left" w:pos="851" w:leader="none"/>
              </w:tabs>
              <w:spacing w:before="0" w:after="0"/>
              <w:jc w:val="both"/>
              <w:rPr>
                <w:szCs w:val="28"/>
              </w:rPr>
            </w:pPr>
            <w:r>
              <w:rPr>
                <w:kern w:val="0"/>
                <w:szCs w:val="28"/>
                <w:lang w:val="en-US" w:bidi="ar-SA"/>
              </w:rPr>
              <w:t>www</w:t>
            </w:r>
            <w:r>
              <w:rPr>
                <w:kern w:val="0"/>
                <w:szCs w:val="28"/>
                <w:lang w:val="ru-RU" w:bidi="ar-SA"/>
              </w:rPr>
              <w:t>.</w:t>
            </w:r>
            <w:r>
              <w:rPr>
                <w:kern w:val="0"/>
                <w:szCs w:val="28"/>
                <w:lang w:val="en-US" w:bidi="ar-SA"/>
              </w:rPr>
              <w:t>kamgov</w:t>
            </w:r>
            <w:r>
              <w:rPr>
                <w:kern w:val="0"/>
                <w:szCs w:val="28"/>
                <w:lang w:val="ru-RU" w:bidi="ar-SA"/>
              </w:rPr>
              <w:t>.</w:t>
            </w:r>
            <w:r>
              <w:rPr>
                <w:kern w:val="0"/>
                <w:szCs w:val="28"/>
                <w:lang w:val="en-US" w:bidi="ar-SA"/>
              </w:rPr>
              <w:t>ru</w:t>
            </w:r>
            <w:r>
              <w:rPr>
                <w:kern w:val="0"/>
                <w:szCs w:val="28"/>
                <w:lang w:val="ru-RU" w:bidi="ar-SA"/>
              </w:rPr>
              <w:t>/</w:t>
            </w:r>
            <w:r>
              <w:rPr>
                <w:kern w:val="0"/>
                <w:szCs w:val="28"/>
                <w:lang w:val="en-US" w:bidi="ar-SA"/>
              </w:rPr>
              <w:t>minzkh</w:t>
            </w:r>
            <w:r>
              <w:rPr>
                <w:kern w:val="0"/>
                <w:szCs w:val="28"/>
                <w:lang w:val="ru-RU" w:bidi="ar-SA"/>
              </w:rPr>
              <w:t xml:space="preserve"> в разделе «Текущая деятельность» (вкладка «Отбор на предоставление субсидий», ссылка </w:t>
            </w:r>
            <w:hyperlink r:id="rId2">
              <w:r>
                <w:rPr>
                  <w:rStyle w:val="Style15"/>
                  <w:kern w:val="0"/>
                  <w:szCs w:val="28"/>
                  <w:lang w:val="ru-RU" w:bidi="ar-SA"/>
                </w:rPr>
                <w:t>https://www.kamgov.ru/minzkh/current_activities/test/otbor_na_predstovlenie_subsidii</w:t>
              </w:r>
            </w:hyperlink>
            <w:r>
              <w:rPr>
                <w:kern w:val="0"/>
                <w:szCs w:val="28"/>
                <w:lang w:val="ru-RU" w:bidi="ar-SA"/>
              </w:rPr>
              <w:t>)</w:t>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5.</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 xml:space="preserve">Категория и требования, которым должны соответствовать участники отбора </w:t>
            </w:r>
          </w:p>
        </w:tc>
        <w:tc>
          <w:tcPr>
            <w:tcW w:w="6804" w:type="dxa"/>
            <w:tcBorders/>
          </w:tcPr>
          <w:p>
            <w:pPr>
              <w:pStyle w:val="Normal"/>
              <w:widowControl/>
              <w:spacing w:before="0" w:after="0"/>
              <w:ind w:firstLine="598"/>
              <w:jc w:val="both"/>
              <w:rPr>
                <w:rFonts w:eastAsia="Calibri"/>
                <w:szCs w:val="28"/>
                <w:lang w:eastAsia="en-US"/>
              </w:rPr>
            </w:pPr>
            <w:r>
              <w:rPr>
                <w:kern w:val="0"/>
                <w:szCs w:val="28"/>
                <w:lang w:val="ru-RU" w:bidi="ar-SA"/>
              </w:rPr>
              <w:t xml:space="preserve">К категории получателей субсидии относятся </w:t>
            </w:r>
            <w:r>
              <w:rPr>
                <w:rFonts w:eastAsia="Calibri" w:eastAsiaTheme="minorHAnsi"/>
                <w:kern w:val="0"/>
                <w:szCs w:val="28"/>
                <w:lang w:val="ru-RU" w:eastAsia="en-US" w:bidi="ar-SA"/>
              </w:rPr>
              <w:t xml:space="preserve">юридические лица, осуществляющие на территории Камчатского края деятельность в сфере водоотведения на объекте I категории негативного воздействия на окружающую среду (далее - НВОС), в результате которой образуется отход - ил стабилизированный (код 7 22 200 02 39 5 в соответствии с </w:t>
            </w:r>
            <w:hyperlink r:id="rId3">
              <w:r>
                <w:rPr>
                  <w:rFonts w:eastAsia="Calibri" w:eastAsiaTheme="minorHAnsi"/>
                  <w:kern w:val="0"/>
                  <w:szCs w:val="28"/>
                  <w:lang w:val="ru-RU" w:eastAsia="en-US" w:bidi="ar-SA"/>
                </w:rPr>
                <w:t>приказом</w:t>
              </w:r>
            </w:hyperlink>
            <w:r>
              <w:rPr>
                <w:rFonts w:eastAsia="Calibri" w:eastAsiaTheme="minorHAnsi"/>
                <w:kern w:val="0"/>
                <w:szCs w:val="28"/>
                <w:lang w:val="ru-RU" w:eastAsia="en-US" w:bidi="ar-SA"/>
              </w:rPr>
              <w:t xml:space="preserve"> Росприроднадзора от 22.05.2017 № 242 «Об утверждении Федерального классификационного </w:t>
            </w:r>
            <w:hyperlink r:id="rId4">
              <w:r>
                <w:rPr>
                  <w:rFonts w:eastAsia="Calibri" w:eastAsiaTheme="minorHAnsi"/>
                  <w:kern w:val="0"/>
                  <w:szCs w:val="28"/>
                  <w:lang w:val="ru-RU" w:eastAsia="en-US" w:bidi="ar-SA"/>
                </w:rPr>
                <w:t>каталога</w:t>
              </w:r>
            </w:hyperlink>
            <w:r>
              <w:rPr>
                <w:rFonts w:eastAsia="Calibri" w:eastAsiaTheme="minorHAnsi"/>
                <w:kern w:val="0"/>
                <w:szCs w:val="28"/>
                <w:lang w:val="ru-RU" w:eastAsia="en-US" w:bidi="ar-SA"/>
              </w:rPr>
              <w:t xml:space="preserve"> отходов»).</w:t>
            </w:r>
          </w:p>
          <w:p>
            <w:pPr>
              <w:pStyle w:val="ConsPlusNormal1"/>
              <w:widowControl w:val="fals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Требования, предъявляемые к участникам отбора:</w:t>
            </w:r>
          </w:p>
          <w:p>
            <w:pPr>
              <w:pStyle w:val="Normal"/>
              <w:widowControl/>
              <w:spacing w:before="0" w:after="0"/>
              <w:ind w:firstLine="598"/>
              <w:jc w:val="both"/>
              <w:rPr>
                <w:rFonts w:eastAsia="Calibri"/>
                <w:szCs w:val="28"/>
                <w:lang w:eastAsia="en-US"/>
              </w:rPr>
            </w:pPr>
            <w:bookmarkStart w:id="0" w:name="P89"/>
            <w:bookmarkEnd w:id="0"/>
            <w:r>
              <w:rPr>
                <w:rFonts w:eastAsia="Calibri" w:eastAsiaTheme="minorHAnsi"/>
                <w:kern w:val="0"/>
                <w:szCs w:val="28"/>
                <w:lang w:val="ru-RU" w:eastAsia="en-US" w:bidi="ar-SA"/>
              </w:rPr>
              <w:t>1) соответствие участника отбора на 1 число месяца, в котором подается заявка, следующим требованиям:</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 xml:space="preserve">а) </w:t>
            </w:r>
            <w:r>
              <w:rPr>
                <w:rFonts w:eastAsia="Calibri" w:eastAsiaTheme="minorHAnsi"/>
                <w:b w:val="false"/>
                <w:szCs w:val="28"/>
                <w:lang w:eastAsia="en-US"/>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eastAsia="Calibri" w:eastAsiaTheme="minorHAnsi"/>
                <w:kern w:val="0"/>
                <w:szCs w:val="28"/>
                <w:lang w:val="ru-RU" w:eastAsia="en-US" w:bidi="ar-SA"/>
              </w:rPr>
              <w:t>;</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 xml:space="preserve">б) участник отбора не получает средства из краевого бюджета на основании иных нормативных правовых актов Камчатского края на цели, указанные в </w:t>
            </w:r>
            <w:hyperlink r:id="rId5">
              <w:r>
                <w:rPr>
                  <w:rFonts w:eastAsia="Calibri" w:eastAsiaTheme="minorHAnsi"/>
                  <w:kern w:val="0"/>
                  <w:szCs w:val="28"/>
                  <w:lang w:val="ru-RU" w:eastAsia="en-US" w:bidi="ar-SA"/>
                </w:rPr>
                <w:t>части 1</w:t>
              </w:r>
            </w:hyperlink>
            <w:r>
              <w:rPr>
                <w:rFonts w:eastAsia="Calibri" w:eastAsiaTheme="minorHAnsi"/>
                <w:kern w:val="0"/>
                <w:szCs w:val="28"/>
                <w:lang w:val="ru-RU" w:eastAsia="en-US" w:bidi="ar-SA"/>
              </w:rPr>
              <w:t xml:space="preserve"> Порядка;</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в) участник отбора не находится в процессе реорганизации (за исключением реорганизации в форме присоединения к нему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участника отбора;</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2) включение в установленный Региональной службой по тарифам и ценам Камчатского края для участника отбора тариф на водоотведение (далее – тариф) затрат по оплате за транспортирование, захоронение (или утилизацию) ила стабилизированного в размере, меньшем фактических затрат участника отбора по оплате за транспортирование, захоронение (или утилизацию) ила стабилизированного;</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 xml:space="preserve">3) осуществления пользования получателем субсидии водным объектом с целью сброса отведенных сточных вод от объекта I категории НВОС, на котором образуются отходы - ил стабилизированный (код 7 22 200 02 39 5 в соответствии с </w:t>
            </w:r>
            <w:hyperlink r:id="rId6">
              <w:r>
                <w:rPr>
                  <w:rFonts w:eastAsia="Calibri" w:eastAsiaTheme="minorHAnsi"/>
                  <w:kern w:val="0"/>
                  <w:szCs w:val="28"/>
                  <w:lang w:val="ru-RU" w:eastAsia="en-US" w:bidi="ar-SA"/>
                </w:rPr>
                <w:t>Приказом</w:t>
              </w:r>
            </w:hyperlink>
            <w:r>
              <w:rPr>
                <w:rFonts w:eastAsia="Calibri" w:eastAsiaTheme="minorHAnsi"/>
                <w:kern w:val="0"/>
                <w:szCs w:val="28"/>
                <w:lang w:val="ru-RU" w:eastAsia="en-US" w:bidi="ar-SA"/>
              </w:rPr>
              <w:t xml:space="preserve"> Росприроднадзора от 22.05.2017 № 242 «Об утверждении Федерального классификационного </w:t>
            </w:r>
            <w:hyperlink r:id="rId7">
              <w:r>
                <w:rPr>
                  <w:rFonts w:eastAsia="Calibri" w:eastAsiaTheme="minorHAnsi"/>
                  <w:kern w:val="0"/>
                  <w:szCs w:val="28"/>
                  <w:lang w:val="ru-RU" w:eastAsia="en-US" w:bidi="ar-SA"/>
                </w:rPr>
                <w:t>каталога</w:t>
              </w:r>
            </w:hyperlink>
            <w:r>
              <w:rPr>
                <w:rFonts w:eastAsia="Calibri" w:eastAsiaTheme="minorHAnsi"/>
                <w:kern w:val="0"/>
                <w:szCs w:val="28"/>
                <w:lang w:val="ru-RU" w:eastAsia="en-US" w:bidi="ar-SA"/>
              </w:rPr>
              <w:t xml:space="preserve"> отходов»);</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4) обязательство участника отбора, что вывезенный объем ила стабилизированного будет захоронен (утилизирован) в 202</w:t>
            </w:r>
            <w:r>
              <w:rPr>
                <w:rFonts w:eastAsia="Calibri" w:eastAsiaTheme="minorHAnsi"/>
                <w:kern w:val="0"/>
                <w:szCs w:val="28"/>
                <w:lang w:val="ru-RU" w:eastAsia="en-US" w:bidi="ar-SA"/>
              </w:rPr>
              <w:t>4</w:t>
            </w:r>
            <w:r>
              <w:rPr>
                <w:rFonts w:eastAsia="Calibri" w:eastAsiaTheme="minorHAnsi"/>
                <w:kern w:val="0"/>
                <w:szCs w:val="28"/>
                <w:lang w:val="ru-RU" w:eastAsia="en-US" w:bidi="ar-SA"/>
              </w:rPr>
              <w:t xml:space="preserve"> году.</w:t>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6.</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 xml:space="preserve">Документы, которые необходимо предоставить для участия в отборе </w:t>
            </w:r>
          </w:p>
        </w:tc>
        <w:tc>
          <w:tcPr>
            <w:tcW w:w="6804" w:type="dxa"/>
            <w:tcBorders/>
          </w:tcPr>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Для участия в отборе участник отбора предоставляет в Министерство следующие документы:</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 xml:space="preserve">1) заявку по форме, </w:t>
            </w:r>
            <w:r>
              <w:rPr>
                <w:kern w:val="0"/>
                <w:szCs w:val="28"/>
                <w:lang w:val="ru-RU" w:bidi="ar-SA"/>
              </w:rPr>
              <w:t xml:space="preserve">утвержденной приказом Министерства от 27.01.2022 № 20-13 </w:t>
            </w:r>
            <w:r>
              <w:rPr>
                <w:kern w:val="0"/>
                <w:szCs w:val="28"/>
                <w:lang w:val="ru-RU" w:bidi="ar-SA"/>
              </w:rPr>
              <w:t>(с изм. от 29.01.2024 приказ № 20-22)</w:t>
            </w:r>
            <w:r>
              <w:rPr>
                <w:rFonts w:eastAsia="Calibri" w:eastAsiaTheme="minorHAnsi"/>
                <w:kern w:val="0"/>
                <w:szCs w:val="28"/>
                <w:lang w:val="ru-RU" w:eastAsia="en-US" w:bidi="ar-SA"/>
              </w:rPr>
              <w:t>, которая содержит:</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а) полное наименование, сведения об организационно-правовой форме, о месте нахождения, об адресе места нахождения,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б)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в)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 xml:space="preserve">2) справку, подписанную руководителем участника отбора, подтверждающую, что участник отбора соответствует требованиям, установленным </w:t>
            </w:r>
            <w:hyperlink r:id="rId8">
              <w:r>
                <w:rPr>
                  <w:rFonts w:eastAsia="Calibri" w:eastAsiaTheme="minorHAnsi"/>
                  <w:kern w:val="0"/>
                  <w:szCs w:val="28"/>
                  <w:lang w:val="ru-RU" w:eastAsia="en-US" w:bidi="ar-SA"/>
                </w:rPr>
                <w:t>пунктом 1 части 8</w:t>
              </w:r>
            </w:hyperlink>
            <w:r>
              <w:rPr>
                <w:rFonts w:eastAsia="Calibri" w:eastAsiaTheme="minorHAnsi"/>
                <w:kern w:val="0"/>
                <w:szCs w:val="28"/>
                <w:lang w:val="ru-RU" w:eastAsia="en-US" w:bidi="ar-SA"/>
              </w:rPr>
              <w:t xml:space="preserve"> Порядка;</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 xml:space="preserve">3) справку-расчет о затратах участника отбора, планируемых в текущем финансовом году на оплату за транспортирование, захоронение (или утилизацию) ила стабилизированного по форме, установленной Министерством </w:t>
            </w:r>
            <w:r>
              <w:rPr>
                <w:rFonts w:eastAsia="Calibri" w:ascii="Times New Roman" w:hAnsi="Times New Roman" w:eastAsiaTheme="minorHAnsi"/>
                <w:color w:val="000000"/>
                <w:kern w:val="0"/>
                <w:sz w:val="28"/>
                <w:szCs w:val="28"/>
                <w:lang w:val="ru-RU" w:eastAsia="en-US" w:bidi="ar-SA"/>
              </w:rPr>
              <w:t>(п</w:t>
            </w:r>
            <w:r>
              <w:rPr>
                <w:rFonts w:eastAsia="Calibri" w:ascii="Times New Roman" w:hAnsi="Times New Roman" w:eastAsiaTheme="minorHAnsi"/>
                <w:b w:val="false"/>
                <w:i w:val="false"/>
                <w:caps w:val="false"/>
                <w:smallCaps w:val="false"/>
                <w:color w:val="000000"/>
                <w:spacing w:val="0"/>
                <w:kern w:val="0"/>
                <w:sz w:val="28"/>
                <w:szCs w:val="28"/>
                <w:lang w:val="ru-RU" w:eastAsia="en-US" w:bidi="ar-SA"/>
              </w:rPr>
              <w:t xml:space="preserve">риказ Министерства жилищно-коммунального хозяйства и энергетики Камчатского края от 09.01.2023 № 20-1 «Об утверждении формы справки-расчета о затратах участника отбора, планируемых в текущем финансовом году на оплату за транспортирование, захоронение (или утилизацию) ила стабилизированного биологических очистных сооружений хозяйственно-бытовых сточных вод, возникших в связи с оказанием услуг по водоотведению»), </w:t>
            </w:r>
            <w:r>
              <w:rPr>
                <w:rFonts w:eastAsia="Calibri" w:eastAsiaTheme="minorHAnsi"/>
                <w:kern w:val="0"/>
                <w:szCs w:val="28"/>
                <w:lang w:val="ru-RU" w:eastAsia="en-US" w:bidi="ar-SA"/>
              </w:rPr>
              <w:t xml:space="preserve">ссылка </w:t>
            </w:r>
            <w:hyperlink r:id="rId9">
              <w:r>
                <w:rPr>
                  <w:rStyle w:val="Style15"/>
                  <w:rFonts w:eastAsia="Calibri" w:eastAsiaTheme="minorHAnsi"/>
                  <w:kern w:val="0"/>
                  <w:szCs w:val="28"/>
                  <w:lang w:val="ru-RU" w:eastAsia="en-US" w:bidi="ar-SA"/>
                </w:rPr>
                <w:t>https://minzkh.kamgov.ru/current_activities/test/otbor_na_predstovlenie_subsidii/normativnye-dokumenty</w:t>
              </w:r>
            </w:hyperlink>
            <w:r>
              <w:rPr>
                <w:rFonts w:eastAsia="Calibri" w:eastAsiaTheme="minorHAnsi"/>
                <w:kern w:val="0"/>
                <w:szCs w:val="28"/>
                <w:lang w:val="ru-RU" w:eastAsia="en-US" w:bidi="ar-SA"/>
              </w:rPr>
              <w:t>;</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4) справку Региональной службы по тарифам и ценам Камчатского края, содержащую сведения о суммах затрат по оплате за транспортирование, захоронение (или утилизацию) ила стабилизированного, включенных в тариф участника отбора;</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5) справку-обязательство участника отбора, что вывезенный объем ила стабилизированного будет захоронен (утилизирован) в текущем финансовом году;</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6) заверенную надлежащим образом копию документа, подтверждающего отнесение объекта НВОС к объекту I категории;</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7) заверенную надлежащим образом копию документа, подтверждающего право пользования получателем субсидии водным объектом с целью сброса отведенных сточных вод;</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8) заверенную надлежащим образом копию документа об утверждении нормативов образования отходов и лимитов на их размещение, подтверждающий образование у получателя субсидии отхода - ил стабилизированный (код 7 22 200 02 39 5).</w:t>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7.</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Заявка на участие в отборе предоставляется в порядке и по форме, установленной Министерством</w:t>
            </w:r>
          </w:p>
        </w:tc>
        <w:tc>
          <w:tcPr>
            <w:tcW w:w="6804" w:type="dxa"/>
            <w:tcBorders/>
          </w:tcPr>
          <w:p>
            <w:pPr>
              <w:pStyle w:val="Normal"/>
              <w:widowControl/>
              <w:tabs>
                <w:tab w:val="clear" w:pos="708"/>
                <w:tab w:val="left" w:pos="851" w:leader="none"/>
              </w:tabs>
              <w:spacing w:before="0" w:after="0"/>
              <w:jc w:val="both"/>
              <w:rPr>
                <w:szCs w:val="28"/>
              </w:rPr>
            </w:pPr>
            <w:r>
              <w:rPr>
                <w:kern w:val="0"/>
                <w:szCs w:val="28"/>
                <w:lang w:val="ru-RU" w:bidi="ar-SA"/>
              </w:rPr>
              <w:t xml:space="preserve">Заявка должна соответствовать форме, утвержденной приказом Министерства от 27.01.2022 № 20-13 </w:t>
            </w:r>
            <w:r>
              <w:rPr>
                <w:kern w:val="0"/>
                <w:szCs w:val="28"/>
                <w:lang w:val="ru-RU" w:bidi="ar-SA"/>
              </w:rPr>
              <w:t xml:space="preserve">(с изм. от 29.01.2024 приказ № 20-22), </w:t>
            </w:r>
            <w:r>
              <w:rPr>
                <w:kern w:val="0"/>
                <w:szCs w:val="28"/>
                <w:lang w:val="ru-RU" w:bidi="ar-SA"/>
              </w:rPr>
              <w:t xml:space="preserve">ссылка </w:t>
            </w:r>
            <w:hyperlink r:id="rId10">
              <w:r>
                <w:rPr>
                  <w:rStyle w:val="Style15"/>
                  <w:kern w:val="0"/>
                  <w:szCs w:val="28"/>
                  <w:lang w:val="ru-RU" w:bidi="ar-SA"/>
                </w:rPr>
                <w:t>https://minzkh.kamgov.ru/current_activities/test/otbor_na_predstovlenie_subsidii/normativnye-dokumenty</w:t>
              </w:r>
            </w:hyperlink>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8.</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 xml:space="preserve">Порядок отзыва заявки участником отбора </w:t>
            </w:r>
          </w:p>
        </w:tc>
        <w:tc>
          <w:tcPr>
            <w:tcW w:w="6804" w:type="dxa"/>
            <w:tcBorders/>
          </w:tcPr>
          <w:p>
            <w:pPr>
              <w:pStyle w:val="Normal"/>
              <w:widowControl/>
              <w:tabs>
                <w:tab w:val="clear" w:pos="708"/>
                <w:tab w:val="left" w:pos="851" w:leader="none"/>
              </w:tabs>
              <w:spacing w:before="0" w:after="0"/>
              <w:ind w:firstLine="598"/>
              <w:jc w:val="both"/>
              <w:rPr>
                <w:szCs w:val="28"/>
              </w:rPr>
            </w:pPr>
            <w:r>
              <w:rPr>
                <w:kern w:val="0"/>
                <w:szCs w:val="28"/>
                <w:lang w:val="ru-RU" w:bidi="ar-SA"/>
              </w:rPr>
              <w:t>Заявка может быть отозвана в срок, не позднее 2 рабочих дней до окончания срока приема заявок. Отзыв заявки осуществляется путем направления в Министерство в период проведения отбора уведомления об отзыве заявки.</w:t>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9.</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 xml:space="preserve">Порядок уведомления участников отбора об отклонении заявок </w:t>
            </w:r>
          </w:p>
        </w:tc>
        <w:tc>
          <w:tcPr>
            <w:tcW w:w="6804" w:type="dxa"/>
            <w:tcBorders/>
          </w:tcPr>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 xml:space="preserve">В случае отклонения заявки (заявок) Министерство в течение 5 рабочих дней после дня принятия решения об отклонении заявки (заявок) направляет посредством почтового отправления, или на адрес электронной почты, или иным способом, обеспечивающим подтверждение получения, участнику отбора (участникам отбора) уведомление (уведомления) об отклонении заявки (заявок) с указанием оснований принятия такого решения в соответствии с </w:t>
            </w:r>
            <w:hyperlink r:id="rId11">
              <w:r>
                <w:rPr>
                  <w:rFonts w:eastAsia="Calibri" w:eastAsiaTheme="minorHAnsi"/>
                  <w:kern w:val="0"/>
                  <w:szCs w:val="28"/>
                  <w:lang w:val="ru-RU" w:eastAsia="en-US" w:bidi="ar-SA"/>
                </w:rPr>
                <w:t>частью 23</w:t>
              </w:r>
            </w:hyperlink>
            <w:r>
              <w:rPr>
                <w:rFonts w:eastAsia="Calibri" w:eastAsiaTheme="minorHAnsi"/>
                <w:kern w:val="0"/>
                <w:szCs w:val="28"/>
                <w:lang w:val="ru-RU" w:eastAsia="en-US" w:bidi="ar-SA"/>
              </w:rPr>
              <w:t xml:space="preserve"> Порядка.</w:t>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10.</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 xml:space="preserve">Порядок внесения изменений в заявки </w:t>
            </w:r>
          </w:p>
        </w:tc>
        <w:tc>
          <w:tcPr>
            <w:tcW w:w="6804" w:type="dxa"/>
            <w:tcBorders/>
          </w:tcPr>
          <w:p>
            <w:pPr>
              <w:pStyle w:val="Normal"/>
              <w:widowControl/>
              <w:spacing w:before="0" w:after="0"/>
              <w:ind w:firstLine="598"/>
              <w:jc w:val="both"/>
              <w:rPr>
                <w:szCs w:val="28"/>
              </w:rPr>
            </w:pPr>
            <w:r>
              <w:rPr>
                <w:kern w:val="0"/>
                <w:szCs w:val="28"/>
                <w:lang w:val="ru-RU" w:bidi="ar-SA"/>
              </w:rPr>
              <w:t>Внесение изменений в заявку осуществляется путем направления необходимых сведений в Министерство в период проведения отбора.</w:t>
            </w:r>
          </w:p>
          <w:p>
            <w:pPr>
              <w:pStyle w:val="Normal"/>
              <w:widowControl/>
              <w:tabs>
                <w:tab w:val="clear" w:pos="708"/>
                <w:tab w:val="left" w:pos="851" w:leader="none"/>
              </w:tabs>
              <w:spacing w:before="0" w:after="0"/>
              <w:ind w:firstLine="598"/>
              <w:jc w:val="both"/>
              <w:rPr>
                <w:szCs w:val="28"/>
              </w:rPr>
            </w:pPr>
            <w:r>
              <w:rPr>
                <w:kern w:val="0"/>
                <w:szCs w:val="28"/>
                <w:lang w:val="ru-RU" w:bidi="ar-SA"/>
              </w:rPr>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11.</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 xml:space="preserve">Правила рассмотрения и оценки заявок </w:t>
            </w:r>
          </w:p>
        </w:tc>
        <w:tc>
          <w:tcPr>
            <w:tcW w:w="6804" w:type="dxa"/>
            <w:tcBorders/>
          </w:tcPr>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 xml:space="preserve">Победителем (победителями) отбора признается (признаются) участник (участники) отбора, чья (чьи) заявка (заявки) соответствует (соответствуют) требованиям, установленным </w:t>
            </w:r>
            <w:hyperlink r:id="rId12">
              <w:r>
                <w:rPr>
                  <w:rFonts w:eastAsia="Calibri" w:eastAsiaTheme="minorHAnsi"/>
                  <w:kern w:val="0"/>
                  <w:szCs w:val="28"/>
                  <w:lang w:val="ru-RU" w:eastAsia="en-US" w:bidi="ar-SA"/>
                </w:rPr>
                <w:t>частью 9</w:t>
              </w:r>
            </w:hyperlink>
            <w:r>
              <w:rPr>
                <w:rFonts w:eastAsia="Calibri" w:eastAsiaTheme="minorHAnsi"/>
                <w:kern w:val="0"/>
                <w:szCs w:val="28"/>
                <w:lang w:val="ru-RU" w:eastAsia="en-US" w:bidi="ar-SA"/>
              </w:rPr>
              <w:t xml:space="preserve"> Порядка, а участник (участники) отбора при этом соответствует (соответствуют) категории и требованиям, установленным </w:t>
            </w:r>
            <w:hyperlink r:id="rId13">
              <w:r>
                <w:rPr>
                  <w:rFonts w:eastAsia="Calibri" w:eastAsiaTheme="minorHAnsi"/>
                  <w:kern w:val="0"/>
                  <w:szCs w:val="28"/>
                  <w:lang w:val="ru-RU" w:eastAsia="en-US" w:bidi="ar-SA"/>
                </w:rPr>
                <w:t>частями 7</w:t>
              </w:r>
            </w:hyperlink>
            <w:r>
              <w:rPr>
                <w:rFonts w:eastAsia="Calibri" w:eastAsiaTheme="minorHAnsi"/>
                <w:kern w:val="0"/>
                <w:szCs w:val="28"/>
                <w:lang w:val="ru-RU" w:eastAsia="en-US" w:bidi="ar-SA"/>
              </w:rPr>
              <w:t xml:space="preserve"> и </w:t>
            </w:r>
            <w:hyperlink r:id="rId14">
              <w:r>
                <w:rPr>
                  <w:rFonts w:eastAsia="Calibri" w:eastAsiaTheme="minorHAnsi"/>
                  <w:kern w:val="0"/>
                  <w:szCs w:val="28"/>
                  <w:lang w:val="ru-RU" w:eastAsia="en-US" w:bidi="ar-SA"/>
                </w:rPr>
                <w:t>8</w:t>
              </w:r>
            </w:hyperlink>
            <w:r>
              <w:rPr>
                <w:rFonts w:eastAsia="Calibri" w:eastAsiaTheme="minorHAnsi"/>
                <w:kern w:val="0"/>
                <w:szCs w:val="28"/>
                <w:lang w:val="ru-RU" w:eastAsia="en-US" w:bidi="ar-SA"/>
              </w:rPr>
              <w:t xml:space="preserve"> Порядка.</w:t>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12.</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tc>
        <w:tc>
          <w:tcPr>
            <w:tcW w:w="6804" w:type="dxa"/>
            <w:tcBorders/>
          </w:tcPr>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Не позднее чем за 5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с указанием адреса электронной почты для направления ответа.</w:t>
            </w:r>
          </w:p>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Министерство в течение 3 рабочих дней после дня поступления запроса обязано направить разъяснения положений объявления на адрес электронной почты, указанный в запросе. Разъяснение указанной документации (положений объявления) по отбору не должно изменять ее (их) суть.</w:t>
            </w:r>
          </w:p>
          <w:p>
            <w:pPr>
              <w:pStyle w:val="Normal"/>
              <w:widowControl/>
              <w:spacing w:before="0" w:after="0"/>
              <w:ind w:firstLine="598"/>
              <w:jc w:val="both"/>
              <w:rPr>
                <w:szCs w:val="28"/>
              </w:rPr>
            </w:pPr>
            <w:r>
              <w:rPr>
                <w:rFonts w:eastAsia="Calibri" w:eastAsiaTheme="minorHAnsi"/>
                <w:kern w:val="0"/>
                <w:szCs w:val="28"/>
                <w:lang w:val="ru-RU" w:eastAsia="en-US" w:bidi="ar-SA"/>
              </w:rPr>
              <w:t>Запросы, поступившие позднее, чем за 5 рабочих дней до даты окончания срока подачи заявок, не подлежат рассмотрению Министерством, о чем Министерство уведомляет лицо, направившее запрос.</w:t>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13.</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 xml:space="preserve">Сроки подписания победителем (победителями) отбора соглашения о предоставлении субсидии (далее – соглашение) </w:t>
            </w:r>
          </w:p>
        </w:tc>
        <w:tc>
          <w:tcPr>
            <w:tcW w:w="6804" w:type="dxa"/>
            <w:tcBorders/>
          </w:tcPr>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Победитель (победители) отбора, которому направлен для подписания проект Соглашения в 2 экземплярах, в течение 5 рабочих дней после дня получения проекта Соглашения подписывает его и возвращает в Министерство 2 экземпляра проекта Соглашения.</w:t>
            </w:r>
          </w:p>
          <w:p>
            <w:pPr>
              <w:pStyle w:val="Normal"/>
              <w:widowControl/>
              <w:spacing w:before="0" w:after="0"/>
              <w:jc w:val="both"/>
              <w:rPr>
                <w:rFonts w:eastAsia="Calibri"/>
                <w:szCs w:val="28"/>
                <w:lang w:eastAsia="en-US"/>
              </w:rPr>
            </w:pPr>
            <w:r>
              <w:rPr>
                <w:rFonts w:eastAsia="Calibri" w:eastAsiaTheme="minorHAnsi"/>
                <w:kern w:val="0"/>
                <w:szCs w:val="28"/>
                <w:lang w:val="ru-RU" w:eastAsia="en-US" w:bidi="ar-SA"/>
              </w:rPr>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14.</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 xml:space="preserve">Условия признания победителя (победителей) отбора уклонившимся (уклонившимися) от заключения соглашения </w:t>
            </w:r>
          </w:p>
        </w:tc>
        <w:tc>
          <w:tcPr>
            <w:tcW w:w="6804" w:type="dxa"/>
            <w:tcBorders/>
          </w:tcPr>
          <w:p>
            <w:pPr>
              <w:pStyle w:val="Normal"/>
              <w:widowControl/>
              <w:spacing w:before="0" w:after="0"/>
              <w:ind w:firstLine="598"/>
              <w:jc w:val="both"/>
              <w:rPr>
                <w:rFonts w:eastAsia="Calibri"/>
                <w:szCs w:val="28"/>
                <w:lang w:eastAsia="en-US"/>
              </w:rPr>
            </w:pPr>
            <w:r>
              <w:rPr>
                <w:rFonts w:eastAsia="Calibri" w:eastAsiaTheme="minorHAnsi"/>
                <w:kern w:val="0"/>
                <w:szCs w:val="28"/>
                <w:lang w:val="ru-RU" w:eastAsia="en-US" w:bidi="ar-SA"/>
              </w:rPr>
              <w:t xml:space="preserve">В случае нарушения победителем (победителями) отбора порядка подписания Соглашения, установленного </w:t>
            </w:r>
            <w:hyperlink r:id="rId15">
              <w:r>
                <w:rPr>
                  <w:rFonts w:eastAsia="Calibri" w:eastAsiaTheme="minorHAnsi"/>
                  <w:kern w:val="0"/>
                  <w:szCs w:val="28"/>
                  <w:lang w:val="ru-RU" w:eastAsia="en-US" w:bidi="ar-SA"/>
                </w:rPr>
                <w:t>частью 27</w:t>
              </w:r>
            </w:hyperlink>
            <w:r>
              <w:rPr>
                <w:rFonts w:eastAsia="Calibri" w:eastAsiaTheme="minorHAnsi"/>
                <w:kern w:val="0"/>
                <w:szCs w:val="28"/>
                <w:lang w:val="ru-RU" w:eastAsia="en-US" w:bidi="ar-SA"/>
              </w:rPr>
              <w:t xml:space="preserve"> Порядка, или в случае наличия недостоверных сведений в проекте Соглашения победитель (победители) отбора признается уклонившимся от заключения Соглашения.</w:t>
            </w:r>
          </w:p>
          <w:p>
            <w:pPr>
              <w:pStyle w:val="Normal"/>
              <w:widowControl/>
              <w:tabs>
                <w:tab w:val="clear" w:pos="708"/>
                <w:tab w:val="left" w:pos="1134" w:leader="none"/>
              </w:tabs>
              <w:spacing w:before="0" w:after="0"/>
              <w:ind w:firstLine="598"/>
              <w:jc w:val="both"/>
              <w:rPr>
                <w:szCs w:val="28"/>
              </w:rPr>
            </w:pPr>
            <w:r>
              <w:rPr>
                <w:kern w:val="0"/>
                <w:szCs w:val="28"/>
                <w:lang w:val="ru-RU" w:bidi="ar-SA"/>
              </w:rPr>
            </w:r>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15.</w:t>
            </w:r>
          </w:p>
        </w:tc>
        <w:tc>
          <w:tcPr>
            <w:tcW w:w="2273" w:type="dxa"/>
            <w:tcBorders/>
          </w:tcPr>
          <w:p>
            <w:pPr>
              <w:pStyle w:val="Normal"/>
              <w:widowControl/>
              <w:tabs>
                <w:tab w:val="clear" w:pos="708"/>
                <w:tab w:val="left" w:pos="851" w:leader="none"/>
              </w:tabs>
              <w:spacing w:before="0" w:after="0"/>
              <w:jc w:val="left"/>
              <w:rPr>
                <w:szCs w:val="28"/>
              </w:rPr>
            </w:pPr>
            <w:r>
              <w:rPr>
                <w:kern w:val="0"/>
                <w:szCs w:val="28"/>
                <w:lang w:val="ru-RU" w:bidi="ar-SA"/>
              </w:rPr>
              <w:t xml:space="preserve">Дата размещения результатов отбора на едином портале и на официальном сайте Министерства </w:t>
            </w:r>
          </w:p>
        </w:tc>
        <w:tc>
          <w:tcPr>
            <w:tcW w:w="6804" w:type="dxa"/>
            <w:tcBorders/>
          </w:tcPr>
          <w:p>
            <w:pPr>
              <w:pStyle w:val="ConsPlusNormal1"/>
              <w:widowControl w:val="fals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Министерство в срок не позднее 2</w:t>
            </w:r>
            <w:r>
              <w:rPr>
                <w:rFonts w:cs="Times New Roman" w:ascii="Times New Roman" w:hAnsi="Times New Roman"/>
                <w:kern w:val="0"/>
                <w:sz w:val="28"/>
                <w:szCs w:val="28"/>
                <w:lang w:val="ru-RU" w:bidi="ar-SA"/>
              </w:rPr>
              <w:t>4</w:t>
            </w:r>
            <w:r>
              <w:rPr>
                <w:rFonts w:cs="Times New Roman" w:ascii="Times New Roman" w:hAnsi="Times New Roman"/>
                <w:kern w:val="0"/>
                <w:sz w:val="28"/>
                <w:szCs w:val="28"/>
                <w:lang w:val="ru-RU" w:bidi="ar-SA"/>
              </w:rPr>
              <w:t>.0</w:t>
            </w:r>
            <w:r>
              <w:rPr>
                <w:rFonts w:cs="Times New Roman" w:ascii="Times New Roman" w:hAnsi="Times New Roman"/>
                <w:kern w:val="0"/>
                <w:sz w:val="28"/>
                <w:szCs w:val="28"/>
                <w:lang w:val="ru-RU" w:bidi="ar-SA"/>
              </w:rPr>
              <w:t>4</w:t>
            </w:r>
            <w:r>
              <w:rPr>
                <w:rFonts w:cs="Times New Roman" w:ascii="Times New Roman" w:hAnsi="Times New Roman"/>
                <w:kern w:val="0"/>
                <w:sz w:val="28"/>
                <w:szCs w:val="28"/>
                <w:lang w:val="ru-RU" w:bidi="ar-SA"/>
              </w:rPr>
              <w:t>.202</w:t>
            </w:r>
            <w:r>
              <w:rPr>
                <w:rFonts w:cs="Times New Roman" w:ascii="Times New Roman" w:hAnsi="Times New Roman"/>
                <w:kern w:val="0"/>
                <w:sz w:val="28"/>
                <w:szCs w:val="28"/>
                <w:lang w:val="ru-RU" w:bidi="ar-SA"/>
              </w:rPr>
              <w:t>4</w:t>
            </w:r>
            <w:r>
              <w:rPr>
                <w:rFonts w:cs="Times New Roman" w:ascii="Times New Roman" w:hAnsi="Times New Roman"/>
                <w:kern w:val="0"/>
                <w:sz w:val="28"/>
                <w:szCs w:val="28"/>
                <w:lang w:val="ru-RU" w:bidi="ar-SA"/>
              </w:rPr>
              <w:t xml:space="preserve"> размещает на едином портале и на официальном сайте Министерства (</w:t>
            </w:r>
            <w:hyperlink r:id="rId16">
              <w:r>
                <w:rPr>
                  <w:rStyle w:val="Style15"/>
                  <w:rFonts w:cs="Times New Roman" w:ascii="Times New Roman" w:hAnsi="Times New Roman"/>
                  <w:kern w:val="0"/>
                  <w:sz w:val="28"/>
                  <w:szCs w:val="28"/>
                  <w:lang w:val="ru-RU" w:bidi="ar-SA"/>
                </w:rPr>
                <w:t>https://minzkh.kamgov.ru/rezultat-provedenia-otbora</w:t>
              </w:r>
            </w:hyperlink>
            <w:r>
              <w:rPr>
                <w:rFonts w:cs="Times New Roman" w:ascii="Times New Roman" w:hAnsi="Times New Roman"/>
                <w:kern w:val="0"/>
                <w:sz w:val="28"/>
                <w:szCs w:val="28"/>
                <w:lang w:val="ru-RU" w:bidi="ar-SA"/>
              </w:rPr>
              <w:t>) информацию о результатах отбора, включающую:</w:t>
            </w:r>
          </w:p>
          <w:p>
            <w:pPr>
              <w:pStyle w:val="ConsPlusNormal1"/>
              <w:widowControl w:val="false"/>
              <w:spacing w:before="0" w:after="0"/>
              <w:ind w:firstLine="540"/>
              <w:jc w:val="both"/>
              <w:rPr>
                <w:rFonts w:ascii="Times New Roman" w:hAnsi="Times New Roman" w:cs="Times New Roman"/>
                <w:sz w:val="28"/>
                <w:szCs w:val="28"/>
              </w:rPr>
            </w:pPr>
            <w:r>
              <w:rPr>
                <w:rFonts w:cs="Times New Roman" w:ascii="Times New Roman" w:hAnsi="Times New Roman"/>
                <w:kern w:val="0"/>
                <w:sz w:val="28"/>
                <w:szCs w:val="28"/>
                <w:lang w:val="ru-RU" w:bidi="ar-SA"/>
              </w:rPr>
              <w:t>1) дату, время и место проведения рассмотрения заявок;</w:t>
            </w:r>
          </w:p>
          <w:p>
            <w:pPr>
              <w:pStyle w:val="ConsPlusNormal1"/>
              <w:widowControl w:val="false"/>
              <w:spacing w:before="0" w:after="0"/>
              <w:ind w:firstLine="540"/>
              <w:jc w:val="both"/>
              <w:rPr>
                <w:rFonts w:ascii="Times New Roman" w:hAnsi="Times New Roman" w:cs="Times New Roman"/>
                <w:sz w:val="28"/>
                <w:szCs w:val="28"/>
              </w:rPr>
            </w:pPr>
            <w:r>
              <w:rPr>
                <w:rFonts w:cs="Times New Roman" w:ascii="Times New Roman" w:hAnsi="Times New Roman"/>
                <w:kern w:val="0"/>
                <w:sz w:val="28"/>
                <w:szCs w:val="28"/>
                <w:lang w:val="ru-RU" w:bidi="ar-SA"/>
              </w:rPr>
              <w:t>2) информацию об участниках отбора, заявки которых были рассмотрены;</w:t>
            </w:r>
          </w:p>
          <w:p>
            <w:pPr>
              <w:pStyle w:val="ConsPlusNormal1"/>
              <w:widowControl w:val="false"/>
              <w:spacing w:before="0" w:after="0"/>
              <w:ind w:firstLine="540"/>
              <w:jc w:val="both"/>
              <w:rPr>
                <w:rFonts w:ascii="Times New Roman" w:hAnsi="Times New Roman" w:cs="Times New Roman"/>
                <w:sz w:val="28"/>
                <w:szCs w:val="28"/>
              </w:rPr>
            </w:pPr>
            <w:r>
              <w:rPr>
                <w:rFonts w:cs="Times New Roman" w:ascii="Times New Roman" w:hAnsi="Times New Roman"/>
                <w:kern w:val="0"/>
                <w:sz w:val="28"/>
                <w:szCs w:val="28"/>
                <w:lang w:val="ru-RU" w:bidi="ar-SA"/>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Normal"/>
              <w:widowControl/>
              <w:spacing w:before="0" w:after="0"/>
              <w:ind w:firstLine="540"/>
              <w:jc w:val="both"/>
              <w:rPr>
                <w:szCs w:val="28"/>
              </w:rPr>
            </w:pPr>
            <w:r>
              <w:rPr>
                <w:rFonts w:eastAsia="Calibri" w:eastAsiaTheme="minorHAnsi"/>
                <w:kern w:val="0"/>
                <w:szCs w:val="28"/>
                <w:lang w:val="ru-RU" w:eastAsia="en-US" w:bidi="ar-SA"/>
              </w:rPr>
              <w:t>4) информацию о победителе (победителях) отбора и о размерах предоставляемых ему (им) субсидий.</w:t>
            </w:r>
            <w:bookmarkStart w:id="1" w:name="_GoBack"/>
            <w:bookmarkEnd w:id="1"/>
          </w:p>
        </w:tc>
      </w:tr>
      <w:tr>
        <w:trPr/>
        <w:tc>
          <w:tcPr>
            <w:tcW w:w="704" w:type="dxa"/>
            <w:tcBorders/>
          </w:tcPr>
          <w:p>
            <w:pPr>
              <w:pStyle w:val="Normal"/>
              <w:widowControl/>
              <w:tabs>
                <w:tab w:val="clear" w:pos="708"/>
                <w:tab w:val="left" w:pos="851" w:leader="none"/>
              </w:tabs>
              <w:spacing w:before="0" w:after="0"/>
              <w:jc w:val="both"/>
              <w:rPr>
                <w:szCs w:val="28"/>
              </w:rPr>
            </w:pPr>
            <w:r>
              <w:rPr>
                <w:kern w:val="0"/>
                <w:szCs w:val="28"/>
                <w:lang w:val="ru-RU" w:bidi="ar-SA"/>
              </w:rPr>
              <w:t>16.</w:t>
            </w:r>
          </w:p>
        </w:tc>
        <w:tc>
          <w:tcPr>
            <w:tcW w:w="2273" w:type="dxa"/>
            <w:tcBorders/>
          </w:tcPr>
          <w:p>
            <w:pPr>
              <w:pStyle w:val="Normal"/>
              <w:widowControl/>
              <w:spacing w:before="0" w:after="0"/>
              <w:jc w:val="both"/>
              <w:rPr>
                <w:rFonts w:eastAsia="Calibri"/>
                <w:szCs w:val="28"/>
                <w:lang w:eastAsia="en-US"/>
              </w:rPr>
            </w:pPr>
            <w:r>
              <w:rPr>
                <w:rFonts w:eastAsia="Calibri" w:eastAsiaTheme="minorHAnsi"/>
                <w:kern w:val="0"/>
                <w:szCs w:val="28"/>
                <w:lang w:val="ru-RU" w:eastAsia="en-US" w:bidi="ar-SA"/>
              </w:rPr>
              <w:t>Наименование, место нахождения, почтовый адрес, адрес электронной почты Министерства</w:t>
            </w:r>
          </w:p>
          <w:p>
            <w:pPr>
              <w:pStyle w:val="Normal"/>
              <w:widowControl/>
              <w:tabs>
                <w:tab w:val="clear" w:pos="708"/>
                <w:tab w:val="left" w:pos="851" w:leader="none"/>
              </w:tabs>
              <w:spacing w:before="0" w:after="0"/>
              <w:jc w:val="left"/>
              <w:rPr>
                <w:szCs w:val="28"/>
              </w:rPr>
            </w:pPr>
            <w:r>
              <w:rPr>
                <w:kern w:val="0"/>
                <w:szCs w:val="28"/>
                <w:lang w:val="ru-RU" w:bidi="ar-SA"/>
              </w:rPr>
            </w:r>
          </w:p>
        </w:tc>
        <w:tc>
          <w:tcPr>
            <w:tcW w:w="6804" w:type="dxa"/>
            <w:tcBorders/>
          </w:tcPr>
          <w:p>
            <w:pPr>
              <w:pStyle w:val="ConsPlusNormal1"/>
              <w:widowControl w:val="fals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полное наименование: Министерство жилищно-коммунального хозяйства и энергетики Камчатского края;</w:t>
            </w:r>
          </w:p>
          <w:p>
            <w:pPr>
              <w:pStyle w:val="ConsPlusNormal1"/>
              <w:widowControl w:val="fals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сокращенное наименование: Министерство ЖКХ и энергетики Камчатского края;</w:t>
            </w:r>
          </w:p>
          <w:p>
            <w:pPr>
              <w:pStyle w:val="ConsPlusNormal1"/>
              <w:widowControl w:val="fals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место нахождения: 683031, Камчатский край, г. Петропавловск-Камчатский, проспект Карла Маркса, д. 5;</w:t>
            </w:r>
          </w:p>
          <w:p>
            <w:pPr>
              <w:pStyle w:val="ConsPlusNormal1"/>
              <w:widowControl w:val="fals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почтовый адрес: 683031, Камчатский край, г. Петропавловск-Камчатский, проспект Карла Маркса, д. 5;</w:t>
            </w:r>
          </w:p>
          <w:p>
            <w:pPr>
              <w:pStyle w:val="ConsPlusNormal1"/>
              <w:widowControl w:val="fals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xml:space="preserve">- адрес электронной почты: </w:t>
            </w:r>
            <w:hyperlink r:id="rId17">
              <w:r>
                <w:rPr>
                  <w:rStyle w:val="Style15"/>
                  <w:rFonts w:cs="Times New Roman" w:ascii="Times New Roman" w:hAnsi="Times New Roman"/>
                  <w:kern w:val="0"/>
                  <w:sz w:val="28"/>
                  <w:szCs w:val="28"/>
                  <w:lang w:val="en-US" w:bidi="ar-SA"/>
                </w:rPr>
                <w:t>tek</w:t>
              </w:r>
              <w:r>
                <w:rPr>
                  <w:rStyle w:val="Style15"/>
                  <w:rFonts w:cs="Times New Roman" w:ascii="Times New Roman" w:hAnsi="Times New Roman"/>
                  <w:kern w:val="0"/>
                  <w:sz w:val="28"/>
                  <w:szCs w:val="28"/>
                  <w:lang w:val="ru-RU" w:bidi="ar-SA"/>
                </w:rPr>
                <w:t>1@</w:t>
              </w:r>
              <w:r>
                <w:rPr>
                  <w:rStyle w:val="Style15"/>
                  <w:rFonts w:cs="Times New Roman" w:ascii="Times New Roman" w:hAnsi="Times New Roman"/>
                  <w:kern w:val="0"/>
                  <w:sz w:val="28"/>
                  <w:szCs w:val="28"/>
                  <w:lang w:val="en-US" w:bidi="ar-SA"/>
                </w:rPr>
                <w:t>kamgov</w:t>
              </w:r>
              <w:r>
                <w:rPr>
                  <w:rStyle w:val="Style15"/>
                  <w:rFonts w:cs="Times New Roman" w:ascii="Times New Roman" w:hAnsi="Times New Roman"/>
                  <w:kern w:val="0"/>
                  <w:sz w:val="28"/>
                  <w:szCs w:val="28"/>
                  <w:lang w:val="ru-RU" w:bidi="ar-SA"/>
                </w:rPr>
                <w:t>.</w:t>
              </w:r>
              <w:r>
                <w:rPr>
                  <w:rStyle w:val="Style15"/>
                  <w:rFonts w:cs="Times New Roman" w:ascii="Times New Roman" w:hAnsi="Times New Roman"/>
                  <w:kern w:val="0"/>
                  <w:sz w:val="28"/>
                  <w:szCs w:val="28"/>
                  <w:lang w:val="en-US" w:bidi="ar-SA"/>
                </w:rPr>
                <w:t>ru</w:t>
              </w:r>
            </w:hyperlink>
            <w:r>
              <w:rPr>
                <w:rFonts w:cs="Times New Roman" w:ascii="Times New Roman" w:hAnsi="Times New Roman"/>
                <w:kern w:val="0"/>
                <w:sz w:val="28"/>
                <w:szCs w:val="28"/>
                <w:lang w:val="ru-RU" w:bidi="ar-SA"/>
              </w:rPr>
              <w:t xml:space="preserve"> </w:t>
            </w:r>
          </w:p>
        </w:tc>
      </w:tr>
    </w:tbl>
    <w:p>
      <w:pPr>
        <w:pStyle w:val="Normal"/>
        <w:rPr/>
      </w:pPr>
      <w:r>
        <w:rPr/>
        <mc:AlternateContent>
          <mc:Choice Requires="wps">
            <w:drawing>
              <wp:anchor behindDoc="0" distT="0" distB="5715" distL="0" distR="0" simplePos="0" locked="0" layoutInCell="0" allowOverlap="1" relativeHeight="2" wp14:anchorId="1D3FC32F">
                <wp:simplePos x="0" y="0"/>
                <wp:positionH relativeFrom="margin">
                  <wp:align>left</wp:align>
                </wp:positionH>
                <wp:positionV relativeFrom="margin">
                  <wp:align>bottom</wp:align>
                </wp:positionV>
                <wp:extent cx="3848100" cy="318135"/>
                <wp:effectExtent l="0" t="0" r="0" b="6350"/>
                <wp:wrapNone/>
                <wp:docPr id="1" name="Надпись 1"/>
                <a:graphic xmlns:a="http://schemas.openxmlformats.org/drawingml/2006/main">
                  <a:graphicData uri="http://schemas.microsoft.com/office/word/2010/wordprocessingShape">
                    <wps:wsp>
                      <wps:cNvSpPr/>
                      <wps:spPr>
                        <a:xfrm>
                          <a:off x="0" y="0"/>
                          <a:ext cx="3848040" cy="318240"/>
                        </a:xfrm>
                        <a:prstGeom prst="rect">
                          <a:avLst/>
                        </a:prstGeom>
                        <a:solidFill>
                          <a:srgbClr val="ffffff"/>
                        </a:solidFill>
                        <a:ln w="6350">
                          <a:noFill/>
                        </a:ln>
                      </wps:spPr>
                      <wps:style>
                        <a:lnRef idx="0"/>
                        <a:fillRef idx="0"/>
                        <a:effectRef idx="0"/>
                        <a:fontRef idx="minor"/>
                      </wps:style>
                      <wps:txbx>
                        <w:txbxContent>
                          <w:p>
                            <w:pPr>
                              <w:pStyle w:val="Style24"/>
                              <w:rPr>
                                <w:sz w:val="22"/>
                                <w:szCs w:val="22"/>
                              </w:rPr>
                            </w:pPr>
                            <w:r>
                              <w:rPr>
                                <w:sz w:val="22"/>
                                <w:szCs w:val="22"/>
                              </w:rPr>
                              <w:t>Исп. Попова Елена Николаевна, 8(4152)42-01-05</w:t>
                            </w:r>
                          </w:p>
                        </w:txbxContent>
                      </wps:txbx>
                      <wps:bodyPr anchor="t">
                        <a:prstTxWarp prst="textNoShape"/>
                        <a:noAutofit/>
                      </wps:bodyPr>
                    </wps:wsp>
                  </a:graphicData>
                </a:graphic>
              </wp:anchor>
            </w:drawing>
          </mc:Choice>
          <mc:Fallback>
            <w:pict>
              <v:rect id="shape_0" ID="Надпись 1" path="m0,0l-2147483645,0l-2147483645,-2147483646l0,-2147483646xe" fillcolor="white" stroked="f" o:allowincell="f" style="position:absolute;margin-left:0pt;margin-top:687.15pt;width:302.95pt;height:25pt;mso-wrap-style:square;v-text-anchor:top;mso-position-horizontal:left;mso-position-horizontal-relative:margin;mso-position-vertical:bottom;mso-position-vertical-relative:margin" wp14:anchorId="1D3FC32F">
                <v:fill o:detectmouseclick="t" type="solid" color2="black"/>
                <v:stroke color="#3465a4" weight="6480" joinstyle="round" endcap="flat"/>
                <v:textbox>
                  <w:txbxContent>
                    <w:p>
                      <w:pPr>
                        <w:pStyle w:val="Style24"/>
                        <w:rPr>
                          <w:sz w:val="22"/>
                          <w:szCs w:val="22"/>
                        </w:rPr>
                      </w:pPr>
                      <w:r>
                        <w:rPr>
                          <w:sz w:val="22"/>
                          <w:szCs w:val="22"/>
                        </w:rPr>
                        <w:t>Исп. Попова Елена Николаевна, 8(4152)42-01-05</w:t>
                      </w:r>
                    </w:p>
                  </w:txbxContent>
                </v:textbox>
                <w10:wrap type="none"/>
              </v:rect>
            </w:pict>
          </mc:Fallback>
        </mc:AlternateContent>
      </w:r>
    </w:p>
    <w:sectPr>
      <w:headerReference w:type="default" r:id="rId18"/>
      <w:type w:val="nextPage"/>
      <w:pgSz w:w="11906" w:h="16838"/>
      <w:pgMar w:left="1418" w:right="851" w:gutter="0" w:header="709" w:top="1134" w:footer="0" w:bottom="1276"/>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Open Sans">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01684680"/>
    </w:sdtPr>
    <w:sdtContent>
      <w:p>
        <w:pPr>
          <w:pStyle w:val="Style25"/>
          <w:jc w:val="center"/>
          <w:rPr>
            <w:sz w:val="24"/>
          </w:rPr>
        </w:pPr>
        <w:r>
          <w:rPr>
            <w:sz w:val="24"/>
          </w:rPr>
          <w:fldChar w:fldCharType="begin"/>
        </w:r>
        <w:r>
          <w:rPr>
            <w:sz w:val="24"/>
          </w:rPr>
          <w:instrText xml:space="preserve"> PAGE </w:instrText>
        </w:r>
        <w:r>
          <w:rPr>
            <w:sz w:val="24"/>
          </w:rPr>
          <w:fldChar w:fldCharType="separate"/>
        </w:r>
        <w:r>
          <w:rPr>
            <w:sz w:val="24"/>
          </w:rPr>
          <w:t>0</w:t>
        </w:r>
        <w:r>
          <w:rPr>
            <w:sz w:val="24"/>
          </w:rPr>
          <w:fldChar w:fldCharType="end"/>
        </w:r>
      </w:p>
    </w:sdtContent>
  </w:sdt>
  <w:p>
    <w:pPr>
      <w:pStyle w:val="Style25"/>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6f73"/>
    <w:pPr>
      <w:widowControl/>
      <w:bidi w:val="0"/>
      <w:spacing w:lineRule="auto" w:line="240" w:before="0" w:after="0"/>
      <w:jc w:val="left"/>
    </w:pPr>
    <w:rPr>
      <w:rFonts w:ascii="Times New Roman" w:hAnsi="Times New Roman" w:eastAsia="Times New Roman" w:cs="Times New Roman"/>
      <w:color w:val="auto"/>
      <w:kern w:val="0"/>
      <w:sz w:val="28"/>
      <w:szCs w:val="24"/>
      <w:lang w:eastAsia="ru-RU" w:val="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rsid w:val="0009029f"/>
    <w:rPr>
      <w:rFonts w:ascii="Arial" w:hAnsi="Arial" w:eastAsia="Times New Roman" w:cs="Arial"/>
      <w:sz w:val="20"/>
      <w:szCs w:val="20"/>
      <w:lang w:eastAsia="ru-RU"/>
    </w:rPr>
  </w:style>
  <w:style w:type="character" w:styleId="Style14" w:customStyle="1">
    <w:name w:val="Нижний колонтитул Знак"/>
    <w:basedOn w:val="DefaultParagraphFont"/>
    <w:uiPriority w:val="99"/>
    <w:qFormat/>
    <w:rsid w:val="00752057"/>
    <w:rPr>
      <w:rFonts w:ascii="Times New Roman" w:hAnsi="Times New Roman" w:eastAsia="Times New Roman" w:cs="Times New Roman"/>
      <w:sz w:val="28"/>
      <w:szCs w:val="28"/>
      <w:lang w:eastAsia="ru-RU"/>
    </w:rPr>
  </w:style>
  <w:style w:type="character" w:styleId="Style15">
    <w:name w:val="Hyperlink"/>
    <w:basedOn w:val="DefaultParagraphFont"/>
    <w:uiPriority w:val="99"/>
    <w:unhideWhenUsed/>
    <w:rsid w:val="00525fc9"/>
    <w:rPr>
      <w:color w:val="0563C1" w:themeColor="hyperlink"/>
      <w:u w:val="single"/>
    </w:rPr>
  </w:style>
  <w:style w:type="character" w:styleId="Style16" w:customStyle="1">
    <w:name w:val="Верхний колонтитул Знак"/>
    <w:basedOn w:val="DefaultParagraphFont"/>
    <w:uiPriority w:val="99"/>
    <w:qFormat/>
    <w:rsid w:val="005d4abe"/>
    <w:rPr>
      <w:rFonts w:ascii="Times New Roman" w:hAnsi="Times New Roman" w:eastAsia="Times New Roman" w:cs="Times New Roman"/>
      <w:sz w:val="28"/>
      <w:szCs w:val="24"/>
      <w:lang w:eastAsia="ru-RU"/>
    </w:rPr>
  </w:style>
  <w:style w:type="character" w:styleId="Style17">
    <w:name w:val="FollowedHyperlink"/>
    <w:rPr>
      <w:color w:val="800000"/>
      <w:u w:val="single"/>
    </w:rPr>
  </w:style>
  <w:style w:type="paragraph" w:styleId="Style18">
    <w:name w:val="Заголовок"/>
    <w:basedOn w:val="Normal"/>
    <w:next w:val="Style19"/>
    <w:qFormat/>
    <w:pPr>
      <w:keepNext w:val="true"/>
      <w:spacing w:before="240" w:after="120"/>
    </w:pPr>
    <w:rPr>
      <w:rFonts w:ascii="Open Sans" w:hAnsi="Open Sans" w:eastAsia="Tahoma"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ConsPlusNormal1" w:customStyle="1">
    <w:name w:val="ConsPlusNormal"/>
    <w:link w:val="ConsPlusNormal"/>
    <w:qFormat/>
    <w:rsid w:val="0009029f"/>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ConsPlusTitle" w:customStyle="1">
    <w:name w:val="ConsPlusTitle"/>
    <w:qFormat/>
    <w:rsid w:val="00df5fef"/>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Style23">
    <w:name w:val="Колонтитул"/>
    <w:basedOn w:val="Normal"/>
    <w:qFormat/>
    <w:pPr/>
    <w:rPr/>
  </w:style>
  <w:style w:type="paragraph" w:styleId="Style24">
    <w:name w:val="Footer"/>
    <w:basedOn w:val="Normal"/>
    <w:link w:val="Style14"/>
    <w:uiPriority w:val="99"/>
    <w:rsid w:val="00752057"/>
    <w:pPr>
      <w:tabs>
        <w:tab w:val="clear" w:pos="708"/>
        <w:tab w:val="center" w:pos="4677" w:leader="none"/>
        <w:tab w:val="right" w:pos="9355" w:leader="none"/>
      </w:tabs>
    </w:pPr>
    <w:rPr>
      <w:szCs w:val="28"/>
    </w:rPr>
  </w:style>
  <w:style w:type="paragraph" w:styleId="Style25">
    <w:name w:val="Header"/>
    <w:basedOn w:val="Normal"/>
    <w:link w:val="Style16"/>
    <w:uiPriority w:val="99"/>
    <w:unhideWhenUsed/>
    <w:rsid w:val="005d4abe"/>
    <w:pPr>
      <w:tabs>
        <w:tab w:val="clear" w:pos="708"/>
        <w:tab w:val="center" w:pos="4677" w:leader="none"/>
        <w:tab w:val="right" w:pos="9355" w:leader="none"/>
      </w:tabs>
    </w:pPr>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636f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kamgov.ru/minzkh/current_activities/test/otbor_na_predstovlenie_subsidii" TargetMode="External"/><Relationship Id="rId3" Type="http://schemas.openxmlformats.org/officeDocument/2006/relationships/hyperlink" Target="consultantplus://offline/ref=D6E79D5F1897BB747E8E3E71B3E902165A548310C6499B901702FED34516C29D479502525EB8684A6E0EA47C97HB7AD" TargetMode="External"/><Relationship Id="rId4" Type="http://schemas.openxmlformats.org/officeDocument/2006/relationships/hyperlink" Target="consultantplus://offline/ref=D6E79D5F1897BB747E8E3E71B3E902165A548310C6499B901702FED34516C29D479502525EB8684A6E0EA47C97HB7AD" TargetMode="External"/><Relationship Id="rId5" Type="http://schemas.openxmlformats.org/officeDocument/2006/relationships/hyperlink" Target="consultantplus://offline/ref=43FDA49075ED02EE8AA385B3406D1E698DD0F9E376F9458B46966AF86D6832A51BA1E19FA01EC95DBF0D9FFE1050E15D1C66CF543D2A2414F0BF1821407BD" TargetMode="External"/><Relationship Id="rId6" Type="http://schemas.openxmlformats.org/officeDocument/2006/relationships/hyperlink" Target="consultantplus://offline/ref=43FDA49075ED02EE8AA39BBE5601426D8FD9A4E773F34CD412C06CAF323834F049E1BFC6E35CDA5CBE139DFF104578D" TargetMode="External"/><Relationship Id="rId7" Type="http://schemas.openxmlformats.org/officeDocument/2006/relationships/hyperlink" Target="consultantplus://offline/ref=43FDA49075ED02EE8AA39BBE5601426D8FD9A4E773F34CD412C06CAF323834F049E1BFC6E35CDA5CBE139DFF104578D" TargetMode="External"/><Relationship Id="rId8" Type="http://schemas.openxmlformats.org/officeDocument/2006/relationships/hyperlink" Target="consultantplus://offline/ref=2CF8C4E2918E3F150033E4A33ED7B9EA248D0D58D775A1C6865EAE1A4110B030266103E7D772EEC5EDFBE06F2D0B15F2299D9910DB994BA7321AC1EAG9DDE" TargetMode="External"/><Relationship Id="rId9" Type="http://schemas.openxmlformats.org/officeDocument/2006/relationships/hyperlink" Target="https://minzkh.kamgov.ru/current_activities/test/otbor_na_predstovlenie_subsidii/normativnye-dokumenty" TargetMode="External"/><Relationship Id="rId10" Type="http://schemas.openxmlformats.org/officeDocument/2006/relationships/hyperlink" Target="https://minzkh.kamgov.ru/current_activities/test/otbor_na_predstovlenie_subsidii/normativnye-dokumenty" TargetMode="External"/><Relationship Id="rId11" Type="http://schemas.openxmlformats.org/officeDocument/2006/relationships/hyperlink" Target="consultantplus://offline/ref=BB61D4A090688950CA56F924C1C133C35303A388146AF71FC8C387B88CBA316B02CF658DDC812BB50EB380ED019BDE14368B8D40CC3DC9FCF0611E36k2d0E" TargetMode="External"/><Relationship Id="rId12" Type="http://schemas.openxmlformats.org/officeDocument/2006/relationships/hyperlink" Target="consultantplus://offline/ref=7DB56018B30D70EE6D003BA7628A85E03BFD42F1684E4B53690C1D32B3AF0968C8DE6602EA0E8989427B4440D835ED177F459B89028B3CC9184E3390OAe0E" TargetMode="External"/><Relationship Id="rId13" Type="http://schemas.openxmlformats.org/officeDocument/2006/relationships/hyperlink" Target="consultantplus://offline/ref=7DB56018B30D70EE6D003BA7628A85E03BFD42F1684E4B53690C1D32B3AF0968C8DE6602EA0E8989427B4447D935ED177F459B89028B3CC9184E3390OAe0E" TargetMode="External"/><Relationship Id="rId14" Type="http://schemas.openxmlformats.org/officeDocument/2006/relationships/hyperlink" Target="consultantplus://offline/ref=7DB56018B30D70EE6D003BA7628A85E03BFD42F1684E4B53690C1D32B3AF0968C8DE6602EA0E8989427B4447D835ED177F459B89028B3CC9184E3390OAe0E" TargetMode="External"/><Relationship Id="rId15" Type="http://schemas.openxmlformats.org/officeDocument/2006/relationships/hyperlink" Target="consultantplus://offline/ref=47357ECE1D432AD11777FD526BBDCF00208FA5BE2954ADF776294700C42A5F234B725C48B0049BC329AB74790D003E82CC823C01A4B5A084537707C3p0f9E" TargetMode="External"/><Relationship Id="rId16" Type="http://schemas.openxmlformats.org/officeDocument/2006/relationships/hyperlink" Target="https://minzkh.kamgov.ru/rezultat-provedenia-otbora" TargetMode="External"/><Relationship Id="rId17" Type="http://schemas.openxmlformats.org/officeDocument/2006/relationships/hyperlink" Target="mailto:tek1@kamgov.ru" TargetMode="External"/><Relationship Id="rId18" Type="http://schemas.openxmlformats.org/officeDocument/2006/relationships/header" Target="header1.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Application>LibreOffice/7.4.4.2$Linux_X86_64 LibreOffice_project/40$Build-2</Application>
  <AppVersion>15.0000</AppVersion>
  <Pages>7</Pages>
  <Words>1519</Words>
  <Characters>10950</Characters>
  <CharactersWithSpaces>12402</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2022-12-28T04:59:00Z</dcterms:created>
  <dc:creator>Попова Елена Николаевна</dc:creator>
  <dc:description/>
  <dc:language>ru-RU</dc:language>
  <cp:lastModifiedBy/>
  <dcterms:modified xsi:type="dcterms:W3CDTF">2024-03-27T14:30:08Z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