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Объявление</w:t>
      </w:r>
    </w:p>
    <w:p w14:paraId="02000000">
      <w:pPr>
        <w:ind/>
        <w:jc w:val="center"/>
      </w:pPr>
      <w:r>
        <w:t xml:space="preserve">о проведении отбора получателей </w:t>
      </w:r>
      <w:r>
        <w:t>из краевого бюджета</w:t>
      </w:r>
    </w:p>
    <w:p w14:paraId="03000000">
      <w:pPr>
        <w:ind/>
        <w:jc w:val="center"/>
      </w:pPr>
      <w:r>
        <w:t>в 2022 – 2024 годах субсидий юридическим лицам, осуществляющим деятельность в сфере водоснабжения и водоотведения в Камчатском крае, на финансовое обеспечение отдельных затрат на приобретение техники и оборудования</w:t>
      </w:r>
    </w:p>
    <w:p w14:paraId="04000000">
      <w:pPr>
        <w:ind/>
        <w:jc w:val="both"/>
      </w:pPr>
      <w:r>
        <w:t xml:space="preserve"> </w:t>
      </w:r>
    </w:p>
    <w:p w14:paraId="05000000">
      <w:pPr>
        <w:ind/>
        <w:jc w:val="both"/>
      </w:pPr>
      <w:r>
        <w:t xml:space="preserve">Министерством жилищно-коммунального хозяйства и энергетики Камчатского края </w:t>
      </w:r>
      <w:r>
        <w:t xml:space="preserve">(далее – Министерство) </w:t>
      </w:r>
      <w:r>
        <w:t xml:space="preserve">объявлен </w:t>
      </w:r>
      <w:r>
        <w:t xml:space="preserve">отбор получателей из краевого бюджета субсидий </w:t>
      </w:r>
      <w:r>
        <w:t>юридическим лицам, осуществляющим деятельность в сфере водоснабжения и водоотведения в Камчатском крае, на финансовое обеспечение отдельных затрат на приобретение техники и оборудования</w:t>
      </w:r>
      <w:r>
        <w:t xml:space="preserve">, проводимый в соответствии с Порядком </w:t>
      </w:r>
      <w:r>
        <w:t>определения объема и условий предоставления из краевого бюджета субсидий юридическим лицам, осуществляющим деятельность в сфере водоснабжения и водоотведения в Камчатском крае, на финансовое обеспечение отдельных затрат на приобретение техники и оборудования</w:t>
      </w:r>
      <w:r>
        <w:t xml:space="preserve">, утвержденным </w:t>
      </w:r>
      <w:r>
        <w:t>п</w:t>
      </w:r>
      <w:r>
        <w:t>остановление</w:t>
      </w:r>
      <w:r>
        <w:t>м</w:t>
      </w:r>
      <w:r>
        <w:t xml:space="preserve"> Правительства Камчатского края от 24.01.2018 </w:t>
      </w:r>
      <w:r>
        <w:br/>
      </w:r>
      <w:r>
        <w:t>№</w:t>
      </w:r>
      <w:r>
        <w:t xml:space="preserve"> 27-П </w:t>
      </w:r>
      <w:r>
        <w:t>«</w:t>
      </w:r>
      <w:r>
        <w:t xml:space="preserve">Об утверждении Порядка </w:t>
      </w:r>
      <w:r>
        <w:t xml:space="preserve">определения объема и условий предоставления из краевого бюджета в 2022 </w:t>
      </w:r>
      <w:r>
        <w:t xml:space="preserve">– </w:t>
      </w:r>
      <w:r>
        <w:t>2024 годах субсидий юридическим лицам, осуществляющим деятельность в сфере водоснабжения и водоотведения в Камчатском крае, на финансовое обеспечение отдельных затрат на приобретение техники и оборудования</w:t>
      </w:r>
      <w:r>
        <w:t>»</w:t>
      </w:r>
      <w:r>
        <w:t xml:space="preserve"> (далее – Порядок)</w:t>
      </w:r>
      <w:r>
        <w:t>.</w:t>
      </w:r>
    </w:p>
    <w:p w14:paraId="06000000">
      <w:pPr>
        <w:tabs>
          <w:tab w:leader="none" w:pos="851" w:val="left"/>
        </w:tabs>
        <w:ind w:firstLine="709" w:left="0"/>
        <w:jc w:val="both"/>
      </w:pPr>
    </w:p>
    <w:tbl>
      <w:tblPr>
        <w:tblStyle w:val="Style_2"/>
        <w:tblInd w:type="dxa" w:w="-5"/>
        <w:tblLayout w:type="fixed"/>
      </w:tblPr>
      <w:tblGrid>
        <w:gridCol w:w="704"/>
        <w:gridCol w:w="1990"/>
        <w:gridCol w:w="7371"/>
      </w:tblGrid>
      <w:tr>
        <w:tc>
          <w:tcPr>
            <w:tcW w:type="dxa" w:w="704"/>
          </w:tcPr>
          <w:p w14:paraId="07000000">
            <w:pPr>
              <w:tabs>
                <w:tab w:leader="none" w:pos="851" w:val="left"/>
              </w:tabs>
              <w:ind/>
              <w:jc w:val="both"/>
            </w:pPr>
            <w:r>
              <w:t>1.</w:t>
            </w:r>
          </w:p>
        </w:tc>
        <w:tc>
          <w:tcPr>
            <w:tcW w:type="dxa" w:w="1990"/>
          </w:tcPr>
          <w:p w14:paraId="08000000">
            <w:r>
              <w:t>С</w:t>
            </w:r>
            <w:r>
              <w:t>рок проведения отбора</w:t>
            </w:r>
          </w:p>
        </w:tc>
        <w:tc>
          <w:tcPr>
            <w:tcW w:type="dxa" w:w="7371"/>
          </w:tcPr>
          <w:p w14:paraId="09000000">
            <w:pPr>
              <w:tabs>
                <w:tab w:leader="none" w:pos="851" w:val="left"/>
              </w:tabs>
              <w:ind/>
              <w:jc w:val="both"/>
            </w:pPr>
            <w:r>
              <w:t xml:space="preserve">с </w:t>
            </w:r>
            <w:r>
              <w:t>20.03.2024</w:t>
            </w:r>
            <w:r>
              <w:t xml:space="preserve"> по 26.03.2024</w:t>
            </w:r>
            <w:r>
              <w:t xml:space="preserve"> (включительно)</w:t>
            </w:r>
            <w:r>
              <w:t>;</w:t>
            </w:r>
          </w:p>
          <w:p w14:paraId="0A000000">
            <w:pPr>
              <w:tabs>
                <w:tab w:leader="none" w:pos="851" w:val="left"/>
              </w:tabs>
              <w:ind/>
              <w:jc w:val="both"/>
            </w:pPr>
          </w:p>
        </w:tc>
      </w:tr>
      <w:tr>
        <w:tc>
          <w:tcPr>
            <w:tcW w:type="dxa" w:w="704"/>
          </w:tcPr>
          <w:p w14:paraId="0B000000">
            <w:pPr>
              <w:tabs>
                <w:tab w:leader="none" w:pos="851" w:val="left"/>
              </w:tabs>
              <w:ind/>
              <w:jc w:val="both"/>
            </w:pPr>
            <w:r>
              <w:t>2.</w:t>
            </w:r>
          </w:p>
        </w:tc>
        <w:tc>
          <w:tcPr>
            <w:tcW w:type="dxa" w:w="1990"/>
          </w:tcPr>
          <w:p w14:paraId="0C000000">
            <w:pPr>
              <w:tabs>
                <w:tab w:leader="none" w:pos="851" w:val="left"/>
              </w:tabs>
              <w:ind/>
            </w:pPr>
            <w:r>
              <w:t>Д</w:t>
            </w:r>
            <w:r>
              <w:t xml:space="preserve">ата начала подачи </w:t>
            </w:r>
            <w:r>
              <w:t>приема заявок</w:t>
            </w:r>
            <w:r>
              <w:t xml:space="preserve"> </w:t>
            </w:r>
          </w:p>
        </w:tc>
        <w:tc>
          <w:tcPr>
            <w:tcW w:type="dxa" w:w="7371"/>
          </w:tcPr>
          <w:p w14:paraId="0D000000">
            <w:pPr>
              <w:tabs>
                <w:tab w:leader="none" w:pos="851" w:val="left"/>
              </w:tabs>
              <w:ind/>
              <w:jc w:val="both"/>
            </w:pPr>
            <w:r>
              <w:t>20</w:t>
            </w:r>
            <w:r>
              <w:t>.03</w:t>
            </w:r>
            <w:r>
              <w:t>.2024</w:t>
            </w:r>
            <w:r>
              <w:t>;</w:t>
            </w:r>
          </w:p>
          <w:p w14:paraId="0E000000">
            <w:pPr>
              <w:tabs>
                <w:tab w:leader="none" w:pos="851" w:val="left"/>
              </w:tabs>
              <w:ind/>
              <w:jc w:val="both"/>
            </w:pPr>
          </w:p>
        </w:tc>
      </w:tr>
      <w:tr>
        <w:tc>
          <w:tcPr>
            <w:tcW w:type="dxa" w:w="704"/>
          </w:tcPr>
          <w:p w14:paraId="0F000000">
            <w:pPr>
              <w:tabs>
                <w:tab w:leader="none" w:pos="851" w:val="left"/>
              </w:tabs>
              <w:ind/>
              <w:jc w:val="both"/>
            </w:pPr>
            <w:r>
              <w:t>3.</w:t>
            </w:r>
          </w:p>
        </w:tc>
        <w:tc>
          <w:tcPr>
            <w:tcW w:type="dxa" w:w="1990"/>
          </w:tcPr>
          <w:p w14:paraId="10000000">
            <w:r>
              <w:t>Р</w:t>
            </w:r>
            <w:r>
              <w:t>езультат предоставления субсидии</w:t>
            </w:r>
          </w:p>
        </w:tc>
        <w:tc>
          <w:tcPr>
            <w:tcW w:type="dxa" w:w="7371"/>
          </w:tcPr>
          <w:p w14:paraId="11000000">
            <w:pPr>
              <w:tabs>
                <w:tab w:leader="none" w:pos="567" w:val="left"/>
              </w:tabs>
              <w:ind/>
              <w:jc w:val="both"/>
            </w:pPr>
            <w:r>
              <w:t>Результатом предоставления субсидии является:</w:t>
            </w:r>
          </w:p>
          <w:p w14:paraId="12000000">
            <w:pPr>
              <w:spacing w:after="0" w:before="0"/>
              <w:ind w:firstLine="540" w:left="0" w:right="0"/>
              <w:jc w:val="both"/>
              <w:rPr>
                <w:b w:val="0"/>
              </w:rPr>
            </w:pPr>
            <w:r>
              <w:rPr>
                <w:b w:val="0"/>
              </w:rPr>
              <w:t>1) при направлении субсидии на приобретение техники, оборудования: количество техники и оборудования, которые были приобретены за счет средств субсидии, введенных в эксплуатацию за период действия соглашения (штук) - по состоянию на 31 декабря текущего финансового года;</w:t>
            </w:r>
          </w:p>
          <w:p w14:paraId="13000000">
            <w:pPr>
              <w:spacing w:after="0" w:before="0"/>
              <w:ind w:firstLine="540" w:left="0" w:right="0"/>
              <w:jc w:val="both"/>
              <w:rPr>
                <w:b w:val="0"/>
              </w:rPr>
            </w:pPr>
            <w:r>
              <w:rPr>
                <w:b w:val="0"/>
              </w:rPr>
              <w:t>2) при направлении субсидии на приобретение, внедрение и модификацию программного обеспечения: количество программных продуктов, приобретенных, модернизированных и внедренных в эксплуатацию - по состоянию на 31 декабря текущего финансового года.</w:t>
            </w:r>
          </w:p>
          <w:p w14:paraId="14000000">
            <w:pPr>
              <w:spacing w:after="0" w:before="0"/>
              <w:ind w:firstLine="540" w:left="0" w:right="0"/>
              <w:jc w:val="both"/>
              <w:rPr>
                <w:b w:val="0"/>
              </w:rPr>
            </w:pPr>
            <w:r>
              <w:t>Значения результатов предоставления субсиди</w:t>
            </w:r>
            <w:r>
              <w:t>и</w:t>
            </w:r>
            <w:r>
              <w:t xml:space="preserve"> устанавливаются соглашением.</w:t>
            </w:r>
          </w:p>
          <w:p w14:paraId="15000000">
            <w:pPr>
              <w:tabs>
                <w:tab w:leader="none" w:pos="851" w:val="left"/>
              </w:tabs>
              <w:ind/>
              <w:jc w:val="both"/>
            </w:pPr>
          </w:p>
        </w:tc>
      </w:tr>
      <w:tr>
        <w:tc>
          <w:tcPr>
            <w:tcW w:type="dxa" w:w="704"/>
          </w:tcPr>
          <w:p w14:paraId="16000000">
            <w:pPr>
              <w:tabs>
                <w:tab w:leader="none" w:pos="851" w:val="left"/>
              </w:tabs>
              <w:ind/>
              <w:jc w:val="both"/>
            </w:pPr>
            <w:r>
              <w:t>4.</w:t>
            </w:r>
          </w:p>
        </w:tc>
        <w:tc>
          <w:tcPr>
            <w:tcW w:type="dxa" w:w="1990"/>
          </w:tcPr>
          <w:p w14:paraId="17000000">
            <w:pPr>
              <w:tabs>
                <w:tab w:leader="none" w:pos="851" w:val="left"/>
              </w:tabs>
              <w:ind/>
            </w:pPr>
            <w:r>
              <w:t>П</w:t>
            </w:r>
            <w:r>
              <w:t>роведение отбора осуществляетс</w:t>
            </w:r>
            <w:r>
              <w:t>я на официальном сайте Министерства</w:t>
            </w:r>
            <w:r>
              <w:t xml:space="preserve"> жилищно-коммунального хозяйства и энергетики Камчатского края </w:t>
            </w:r>
          </w:p>
        </w:tc>
        <w:tc>
          <w:tcPr>
            <w:tcW w:type="dxa" w:w="7371"/>
          </w:tcPr>
          <w:p w14:paraId="18000000">
            <w:pPr>
              <w:tabs>
                <w:tab w:leader="none" w:pos="851" w:val="left"/>
              </w:tabs>
              <w:ind/>
              <w:jc w:val="both"/>
            </w:pPr>
            <w:r>
              <w:t>www</w:t>
            </w:r>
            <w:r>
              <w:t>.</w:t>
            </w:r>
            <w:r>
              <w:t>kamgov</w:t>
            </w:r>
            <w:r>
              <w:t>.</w:t>
            </w:r>
            <w:r>
              <w:t>ru</w:t>
            </w:r>
            <w:r>
              <w:t>/</w:t>
            </w:r>
            <w:r>
              <w:t>minzkh</w:t>
            </w:r>
            <w:r>
              <w:t xml:space="preserve"> в разделе «Текущая деятельность»</w:t>
            </w:r>
          </w:p>
        </w:tc>
      </w:tr>
      <w:tr>
        <w:tc>
          <w:tcPr>
            <w:tcW w:type="dxa" w:w="704"/>
          </w:tcPr>
          <w:p w14:paraId="19000000">
            <w:pPr>
              <w:tabs>
                <w:tab w:leader="none" w:pos="851" w:val="left"/>
              </w:tabs>
              <w:ind/>
              <w:jc w:val="both"/>
            </w:pPr>
            <w:r>
              <w:t>5.</w:t>
            </w:r>
          </w:p>
        </w:tc>
        <w:tc>
          <w:tcPr>
            <w:tcW w:type="dxa" w:w="1990"/>
          </w:tcPr>
          <w:p w14:paraId="1A000000">
            <w:pPr>
              <w:tabs>
                <w:tab w:leader="none" w:pos="851" w:val="left"/>
              </w:tabs>
              <w:ind/>
            </w:pPr>
            <w:r>
              <w:t>К</w:t>
            </w:r>
            <w:r>
              <w:t>атегори</w:t>
            </w:r>
            <w:r>
              <w:t>я и требования</w:t>
            </w:r>
            <w:r>
              <w:t xml:space="preserve">, </w:t>
            </w:r>
            <w:r>
              <w:t>которым должны соответствовать</w:t>
            </w:r>
            <w:r>
              <w:t xml:space="preserve"> </w:t>
            </w:r>
            <w:r>
              <w:t xml:space="preserve">участники отбора </w:t>
            </w:r>
          </w:p>
        </w:tc>
        <w:tc>
          <w:tcPr>
            <w:tcW w:type="dxa" w:w="7371"/>
          </w:tcPr>
          <w:p w14:paraId="1B000000">
            <w:pPr>
              <w:ind/>
              <w:jc w:val="both"/>
            </w:pPr>
            <w:r>
              <w:t xml:space="preserve">К категории получателей субсидий относятся юридические лица, осуществляющие на территории Камчатского края деятельность в сфере водоснабжения и водоотведения с объемом отпущенной воды всем потребителям не менее 15000 тыс. </w:t>
            </w:r>
            <w:r>
              <w:t>куб.м</w:t>
            </w:r>
            <w:r>
              <w:t xml:space="preserve"> и протяженностью обслуживаемых водопроводных сетей не менее 200 км</w:t>
            </w:r>
          </w:p>
          <w:p w14:paraId="1C00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bookmarkStart w:id="1" w:name="P88"/>
            <w:bookmarkEnd w:id="1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Требования, предъявляемые к участникам отбора:</w:t>
            </w:r>
          </w:p>
          <w:p w14:paraId="1D000000">
            <w:pPr>
              <w:ind w:firstLine="539" w:left="0"/>
              <w:jc w:val="both"/>
            </w:pPr>
            <w:bookmarkStart w:id="2" w:name="P89"/>
            <w:bookmarkEnd w:id="2"/>
            <w:r>
              <w:t>1) соответствие участника отбора на первое число месяца, в котором он подал в Министерство заявку, следующим требованиям:</w:t>
            </w:r>
          </w:p>
          <w:p w14:paraId="1E000000">
            <w:pPr>
              <w:ind w:firstLine="539" w:left="0"/>
              <w:jc w:val="both"/>
            </w:pPr>
            <w:r>
              <w:t xml:space="preserve">а) </w:t>
            </w:r>
            <w:r>
      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14:paraId="1F000000">
            <w:pPr>
              <w:ind w:firstLine="539" w:left="0"/>
              <w:jc w:val="both"/>
            </w:pPr>
            <w:r>
              <w:t xml:space="preserve">б) участник отбора не получает средства из краевого бюджета на основании иных нормативных правовых актов </w:t>
            </w:r>
            <w:r>
              <w:t>Камчатского края на цели, предусмотренные настоящим Порядком;</w:t>
            </w:r>
          </w:p>
          <w:p w14:paraId="20000000">
            <w:pPr>
              <w:ind w:firstLine="539" w:left="0"/>
              <w:jc w:val="both"/>
            </w:pPr>
            <w:r>
              <w:t>г) у участника отбора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краем;</w:t>
            </w:r>
          </w:p>
          <w:p w14:paraId="21000000">
            <w:pPr>
              <w:ind w:firstLine="539" w:left="0"/>
              <w:jc w:val="both"/>
            </w:pPr>
            <w:r>
              <w:t>д) участник отбора не находится в процессе реорганизации (за исключением реорганизации в форме присоединения к нему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      </w:r>
          </w:p>
          <w:p w14:paraId="22000000">
            <w:pPr>
              <w:ind w:firstLine="539" w:left="0"/>
              <w:jc w:val="both"/>
            </w:pPr>
            <w:r>
              <w:t>е)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главном бухгалтере участника отбора;</w:t>
            </w:r>
          </w:p>
          <w:p w14:paraId="23000000">
            <w:pPr>
              <w:ind w:firstLine="539" w:left="0"/>
              <w:jc w:val="both"/>
            </w:pPr>
            <w:r>
              <w:t xml:space="preserve">2) отсутствие у получателя субсидий неисполненной обязанности по представлению отчетов, предусмотренных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"consultantplus://offline/ref=BA91BEAB63F04C3DFC28FDEA2662F05DD30CEF23892A101E5025686DE5E9350353FB3D0A50D4B87201993A016CB269A9C0D5452CF761C2D75AF2CEDBC0eDC"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пунктом 1 части 46</w:t>
            </w:r>
            <w:r>
              <w:rPr>
                <w:color w:val="0000FF"/>
              </w:rPr>
              <w:fldChar w:fldCharType="end"/>
            </w:r>
            <w:r>
              <w:t xml:space="preserve"> Порядка, за предыдущий финансовый год;</w:t>
            </w:r>
          </w:p>
          <w:p w14:paraId="24000000">
            <w:pPr>
              <w:ind w:firstLine="539" w:left="0"/>
              <w:jc w:val="both"/>
            </w:pPr>
            <w:r>
              <w:t xml:space="preserve">3) приобретение техники и оборудования осуществляется в соответствии с требованиями Федерального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"consultantplus://offline/ref=BA91BEAB63F04C3DFC28E3E7300EAC59D60FB9278A241F4E0E796E3ABAB9335601BB63531198AB7300873A0566CBeBC"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закона</w:t>
            </w:r>
            <w:r>
              <w:rPr>
                <w:color w:val="0000FF"/>
              </w:rPr>
              <w:fldChar w:fldCharType="end"/>
            </w:r>
            <w:r>
              <w:t xml:space="preserve"> от 05.04.2013 № 44-ФЗ "О контрактной системе в сфере закупок товаров, работ, услуг для обеспечения государственных и муниципальных нужд";</w:t>
            </w:r>
          </w:p>
          <w:p w14:paraId="25000000">
            <w:pPr>
              <w:ind w:firstLine="539" w:left="0"/>
              <w:jc w:val="both"/>
            </w:pPr>
            <w:r>
              <w:t>4) стоимость приобретаемой техники и оборудования за единицу (или группу идентичных товаров, приобретенных в рамках одной закупки) должна составлять не менее 500 тыс. рублей;</w:t>
            </w:r>
          </w:p>
          <w:p w14:paraId="26000000">
            <w:pPr>
              <w:ind w:firstLine="539" w:left="0"/>
              <w:jc w:val="both"/>
              <w:rPr>
                <w:b w:val="0"/>
              </w:rPr>
            </w:pPr>
            <w:r>
              <w:t>5)</w:t>
            </w:r>
            <w:r>
              <w:rPr>
                <w:b w:val="0"/>
              </w:rPr>
              <w:t>приобретение программного обеспечения осуществляется в соответствии с требованиями Методических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strike w:val="0"/>
                <w:color w:val="0000FF"/>
                <w:u/>
              </w:rPr>
              <w:t>рекомендаций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>по переходу на использование российского программного обеспечения, в том числе на значимых объектах критической информационной инфраструктуры Российской Федерации, утвержденных Приказом Минцифры России от 18.01.2023 № 21.</w:t>
            </w:r>
          </w:p>
        </w:tc>
      </w:tr>
      <w:tr>
        <w:tc>
          <w:tcPr>
            <w:tcW w:type="dxa" w:w="704"/>
          </w:tcPr>
          <w:p w14:paraId="27000000">
            <w:pPr>
              <w:tabs>
                <w:tab w:leader="none" w:pos="851" w:val="left"/>
              </w:tabs>
              <w:ind/>
              <w:jc w:val="both"/>
            </w:pPr>
            <w:r>
              <w:t>6.</w:t>
            </w:r>
          </w:p>
        </w:tc>
        <w:tc>
          <w:tcPr>
            <w:tcW w:type="dxa" w:w="1990"/>
          </w:tcPr>
          <w:p w14:paraId="28000000">
            <w:pPr>
              <w:tabs>
                <w:tab w:leader="none" w:pos="851" w:val="left"/>
              </w:tabs>
              <w:ind/>
            </w:pPr>
            <w:r>
              <w:t>Д</w:t>
            </w:r>
            <w:r>
              <w:t xml:space="preserve">окументы, которые необходимо предоставить </w:t>
            </w:r>
            <w:r>
              <w:t xml:space="preserve">для участия в отборе </w:t>
            </w:r>
          </w:p>
        </w:tc>
        <w:tc>
          <w:tcPr>
            <w:tcW w:type="dxa" w:w="7371"/>
          </w:tcPr>
          <w:p w14:paraId="2900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Заявка оформляется по форме, утвержденной Министерством</w:t>
            </w:r>
            <w:r>
              <w:rPr>
                <w:rFonts w:ascii="Times New Roman" w:hAnsi="Times New Roman"/>
                <w:sz w:val="28"/>
              </w:rPr>
              <w:t xml:space="preserve"> (приказ от 27.01.2022 № 20-13)</w:t>
            </w:r>
            <w:r>
              <w:rPr>
                <w:rFonts w:ascii="Times New Roman" w:hAnsi="Times New Roman"/>
                <w:sz w:val="28"/>
              </w:rPr>
              <w:t>, и должна содержать:</w:t>
            </w:r>
          </w:p>
          <w:p w14:paraId="2A000000">
            <w:pPr>
              <w:ind w:firstLine="540" w:left="0"/>
              <w:jc w:val="both"/>
            </w:pPr>
            <w:r>
              <w:t>1) следующие сведения и документы об участнике отбора, подавшем заявку:</w:t>
            </w:r>
          </w:p>
          <w:p w14:paraId="2B000000">
            <w:pPr>
              <w:ind w:firstLine="540" w:left="0"/>
              <w:jc w:val="both"/>
            </w:pPr>
            <w:r>
              <w:t xml:space="preserve">а) полное наименование, сведения об организационно-правовой форме, о месте нахождения, об адресе места нахождения, идентификационный номер налогоплательщика (при наличии) учредителей, членов коллегиального исполнительного органа, лица, </w:t>
            </w:r>
            <w:r>
              <w:t>исполняющего функции единоличного исполнительного органа участника отбора;</w:t>
            </w:r>
          </w:p>
          <w:p w14:paraId="2C000000">
            <w:pPr>
              <w:ind w:firstLine="540" w:left="0"/>
              <w:jc w:val="both"/>
            </w:pPr>
            <w:r>
              <w:t>б) документ, подтверждающий полномочия лица на осуществление действий от имени участника отбора (в случае, если заявление подписано лицом, не имеющим права действовать без доверенности от имени участника отбора);</w:t>
            </w:r>
          </w:p>
          <w:p w14:paraId="2D000000">
            <w:pPr>
              <w:ind w:firstLine="540" w:left="0"/>
              <w:jc w:val="both"/>
            </w:pPr>
            <w:r>
              <w:t>в) согласие на размещение информации на едином портале и официальном сайте Министерства об участнике отбора, о подаваемой участником отбора заявке, о размере предоставляемой участнику отбора субсидии по результатам отбора, иной информации об участнике отбора, связанной с соответствующим отбором;</w:t>
            </w:r>
          </w:p>
          <w:p w14:paraId="2E000000">
            <w:pPr>
              <w:ind w:firstLine="540" w:left="0"/>
              <w:jc w:val="both"/>
            </w:pPr>
            <w:r>
              <w:t xml:space="preserve">2) справку, подписанную руководителем участника отбора, подтверждающую, что участник отбора соответствует условиям, установленным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"consultantplus://offline/ref=A4F01C902854A0E200F734B5547952AC2D0FF081D2E5C6789A502CB413B1BFCC3100C7276BAB2A157B61BB0D1040B1CDE157DC26F9F249A5589215DEX0f7C"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пунктом 1 части 8</w:t>
            </w:r>
            <w:r>
              <w:rPr>
                <w:color w:val="0000FF"/>
              </w:rPr>
              <w:fldChar w:fldCharType="end"/>
            </w:r>
            <w:r>
              <w:t xml:space="preserve"> Порядка;</w:t>
            </w:r>
          </w:p>
          <w:p w14:paraId="2F000000">
            <w:pPr>
              <w:ind w:firstLine="540" w:left="0"/>
              <w:jc w:val="both"/>
            </w:pPr>
            <w:r>
              <w:t>3) справку налогового органа об отсутствии у получателя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 подачи заявки, или ее копию, заверенную в установленном законодательством Российской Федерации порядке;</w:t>
            </w:r>
          </w:p>
          <w:p w14:paraId="30000000">
            <w:pPr>
              <w:ind w:firstLine="540" w:left="0"/>
              <w:jc w:val="both"/>
            </w:pPr>
            <w:r>
              <w:t xml:space="preserve">4) справку-расчет, подписанную руководителем участника отбора, содержащую обоснование заявленной суммы субсидий, форма которой утверждается Министерством. Расчет составляется на основании плана-графика закупок, составленного в соответствии с требованиями Федерального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"consultantplus://offline/ref=A4F01C902854A0E200F72AB842150EA8280CA685D1EBC928C40C2AE34CE1B9996340997E2AE739147A7FB80816X4f9C"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закона</w:t>
            </w:r>
            <w:r>
              <w:rPr>
                <w:color w:val="0000FF"/>
              </w:rPr>
              <w:fldChar w:fldCharType="end"/>
            </w:r>
            <w:r>
              <w:t xml:space="preserve"> от 05.04.2013 № 44-ФЗ "О контрактной системе в сфере закупок товаров, работ, услуг для обеспечения государственных и муниципальных нужд" и в соответствии с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"consultantplus://offline/ref=A4F01C902854A0E200F734B5547952AC2D0FF081D2E5C6789A502CB413B1BFCC3100C7276BAB2A157B61B80B1D40B1CDE157DC26F9F249A5589215DEX0f7C"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частью 41</w:t>
            </w:r>
            <w:r>
              <w:rPr>
                <w:color w:val="0000FF"/>
              </w:rPr>
              <w:fldChar w:fldCharType="end"/>
            </w:r>
            <w:r>
              <w:t xml:space="preserve"> Порядка;</w:t>
            </w:r>
          </w:p>
          <w:p w14:paraId="31000000">
            <w:pPr>
              <w:ind w:firstLine="540" w:left="0"/>
              <w:jc w:val="both"/>
            </w:pPr>
            <w:r>
              <w:t>5) письмо с обоснованием необходимости приобретения техники и оборудования.</w:t>
            </w:r>
          </w:p>
          <w:p w14:paraId="32000000">
            <w:pPr>
              <w:tabs>
                <w:tab w:leader="none" w:pos="851" w:val="left"/>
              </w:tabs>
              <w:ind/>
              <w:jc w:val="both"/>
            </w:pPr>
            <w:r>
              <w:t xml:space="preserve"> </w:t>
            </w:r>
          </w:p>
        </w:tc>
      </w:tr>
      <w:tr>
        <w:tc>
          <w:tcPr>
            <w:tcW w:type="dxa" w:w="704"/>
          </w:tcPr>
          <w:p w14:paraId="33000000">
            <w:pPr>
              <w:tabs>
                <w:tab w:leader="none" w:pos="851" w:val="left"/>
              </w:tabs>
              <w:ind/>
              <w:jc w:val="both"/>
            </w:pPr>
            <w:r>
              <w:t>7.</w:t>
            </w:r>
          </w:p>
        </w:tc>
        <w:tc>
          <w:tcPr>
            <w:tcW w:type="dxa" w:w="1990"/>
          </w:tcPr>
          <w:p w14:paraId="34000000">
            <w:pPr>
              <w:tabs>
                <w:tab w:leader="none" w:pos="851" w:val="left"/>
              </w:tabs>
              <w:ind/>
            </w:pPr>
            <w:r>
              <w:t>З</w:t>
            </w:r>
            <w:r>
              <w:t>аявк</w:t>
            </w:r>
            <w:r>
              <w:t>а</w:t>
            </w:r>
            <w:r>
              <w:t xml:space="preserve"> на участие в отборе </w:t>
            </w:r>
            <w:r>
              <w:t xml:space="preserve">предоставляется </w:t>
            </w:r>
            <w:r>
              <w:t>в порядке и</w:t>
            </w:r>
            <w:r>
              <w:t xml:space="preserve"> по форме, установленной </w:t>
            </w:r>
            <w:r>
              <w:t>Министерством</w:t>
            </w:r>
          </w:p>
        </w:tc>
        <w:tc>
          <w:tcPr>
            <w:tcW w:type="dxa" w:w="7371"/>
          </w:tcPr>
          <w:p w14:paraId="35000000">
            <w:pPr>
              <w:tabs>
                <w:tab w:leader="none" w:pos="851" w:val="left"/>
              </w:tabs>
              <w:ind/>
              <w:jc w:val="both"/>
            </w:pPr>
            <w:r>
              <w:t>Заявка должна соответствовать форме, утвержденной приказом Министерства от 27.01.2022 № 20-13</w:t>
            </w:r>
          </w:p>
        </w:tc>
      </w:tr>
      <w:tr>
        <w:tc>
          <w:tcPr>
            <w:tcW w:type="dxa" w:w="704"/>
          </w:tcPr>
          <w:p w14:paraId="36000000">
            <w:pPr>
              <w:tabs>
                <w:tab w:leader="none" w:pos="851" w:val="left"/>
              </w:tabs>
              <w:ind/>
              <w:jc w:val="both"/>
            </w:pPr>
            <w:r>
              <w:t>8.</w:t>
            </w:r>
          </w:p>
        </w:tc>
        <w:tc>
          <w:tcPr>
            <w:tcW w:type="dxa" w:w="1990"/>
          </w:tcPr>
          <w:p w14:paraId="37000000">
            <w:pPr>
              <w:tabs>
                <w:tab w:leader="none" w:pos="851" w:val="left"/>
              </w:tabs>
              <w:ind/>
            </w:pPr>
            <w:r>
              <w:t>П</w:t>
            </w:r>
            <w:r>
              <w:t xml:space="preserve">орядок отзыва заявки участником отбора </w:t>
            </w:r>
          </w:p>
        </w:tc>
        <w:tc>
          <w:tcPr>
            <w:tcW w:type="dxa" w:w="7371"/>
          </w:tcPr>
          <w:p w14:paraId="38000000">
            <w:pPr>
              <w:tabs>
                <w:tab w:leader="none" w:pos="851" w:val="left"/>
              </w:tabs>
              <w:ind/>
              <w:jc w:val="both"/>
            </w:pPr>
            <w:r>
              <w:t>Заявка может быть отозвана в срок, не позднее двух рабочих дней до окончания срока приема заявок. Отзыв заявки осуществляется путем направления в Министерство</w:t>
            </w:r>
            <w:r>
              <w:t xml:space="preserve"> в период проведения отбора</w:t>
            </w:r>
            <w:r>
              <w:t xml:space="preserve"> уведомления об отзыве заявки.</w:t>
            </w:r>
          </w:p>
        </w:tc>
      </w:tr>
      <w:tr>
        <w:tc>
          <w:tcPr>
            <w:tcW w:type="dxa" w:w="704"/>
          </w:tcPr>
          <w:p w14:paraId="39000000">
            <w:pPr>
              <w:tabs>
                <w:tab w:leader="none" w:pos="851" w:val="left"/>
              </w:tabs>
              <w:ind/>
              <w:jc w:val="both"/>
            </w:pPr>
            <w:r>
              <w:t>9.</w:t>
            </w:r>
          </w:p>
        </w:tc>
        <w:tc>
          <w:tcPr>
            <w:tcW w:type="dxa" w:w="1990"/>
          </w:tcPr>
          <w:p w14:paraId="3A000000">
            <w:pPr>
              <w:tabs>
                <w:tab w:leader="none" w:pos="851" w:val="left"/>
              </w:tabs>
              <w:ind/>
            </w:pPr>
            <w:r>
              <w:t>П</w:t>
            </w:r>
            <w:r>
              <w:t>оряд</w:t>
            </w:r>
            <w:r>
              <w:t>ок</w:t>
            </w:r>
            <w:r>
              <w:t xml:space="preserve"> уведомления участников отбора об отклонении заявок </w:t>
            </w:r>
          </w:p>
        </w:tc>
        <w:tc>
          <w:tcPr>
            <w:tcW w:type="dxa" w:w="7371"/>
          </w:tcPr>
          <w:p w14:paraId="3B000000">
            <w:pPr>
              <w:tabs>
                <w:tab w:leader="none" w:pos="851" w:val="left"/>
              </w:tabs>
              <w:ind/>
              <w:jc w:val="both"/>
            </w:pPr>
            <w:r>
              <w:t xml:space="preserve">В случае отклонения заявок Министерство в течение пяти рабочих дней со дня окончания отбора направляет участникам отбора уведомление об отклонении заявок с указанием оснований принятия такого решения в соответствии с </w:t>
            </w:r>
            <w:r>
              <w:rPr>
                <w:color w:val="0000FF"/>
              </w:rPr>
              <w:t>частью 28</w:t>
            </w:r>
            <w:r>
              <w:t xml:space="preserve"> </w:t>
            </w:r>
            <w:r>
              <w:t>Порядка.</w:t>
            </w:r>
          </w:p>
        </w:tc>
      </w:tr>
      <w:tr>
        <w:tc>
          <w:tcPr>
            <w:tcW w:type="dxa" w:w="704"/>
          </w:tcPr>
          <w:p w14:paraId="3C000000">
            <w:pPr>
              <w:tabs>
                <w:tab w:leader="none" w:pos="851" w:val="left"/>
              </w:tabs>
              <w:ind/>
              <w:jc w:val="both"/>
            </w:pPr>
            <w:r>
              <w:t>10.</w:t>
            </w:r>
          </w:p>
        </w:tc>
        <w:tc>
          <w:tcPr>
            <w:tcW w:type="dxa" w:w="1990"/>
          </w:tcPr>
          <w:p w14:paraId="3D000000">
            <w:pPr>
              <w:tabs>
                <w:tab w:leader="none" w:pos="851" w:val="left"/>
              </w:tabs>
              <w:ind/>
            </w:pPr>
            <w:r>
              <w:t>П</w:t>
            </w:r>
            <w:r>
              <w:t>оряд</w:t>
            </w:r>
            <w:r>
              <w:t>ок</w:t>
            </w:r>
            <w:r>
              <w:t xml:space="preserve"> внесения изменений в заявки </w:t>
            </w:r>
          </w:p>
        </w:tc>
        <w:tc>
          <w:tcPr>
            <w:tcW w:type="dxa" w:w="7371"/>
          </w:tcPr>
          <w:p w14:paraId="3E000000">
            <w:pPr>
              <w:ind/>
              <w:jc w:val="both"/>
            </w:pPr>
            <w:r>
              <w:t>Внесение изменений в заявку</w:t>
            </w:r>
            <w:r>
              <w:t xml:space="preserve"> </w:t>
            </w:r>
            <w:r>
              <w:t>осуществляется путем направления необходимых сведений в Министерство</w:t>
            </w:r>
            <w:r>
              <w:t xml:space="preserve"> в период проведения отбора</w:t>
            </w:r>
            <w:r>
              <w:t>.</w:t>
            </w:r>
          </w:p>
          <w:p w14:paraId="3F000000">
            <w:pPr>
              <w:tabs>
                <w:tab w:leader="none" w:pos="851" w:val="left"/>
              </w:tabs>
              <w:ind/>
              <w:jc w:val="both"/>
            </w:pPr>
          </w:p>
        </w:tc>
      </w:tr>
      <w:tr>
        <w:tc>
          <w:tcPr>
            <w:tcW w:type="dxa" w:w="704"/>
          </w:tcPr>
          <w:p w14:paraId="40000000">
            <w:pPr>
              <w:tabs>
                <w:tab w:leader="none" w:pos="851" w:val="left"/>
              </w:tabs>
              <w:ind/>
              <w:jc w:val="both"/>
            </w:pPr>
            <w:r>
              <w:t>11.</w:t>
            </w:r>
          </w:p>
        </w:tc>
        <w:tc>
          <w:tcPr>
            <w:tcW w:type="dxa" w:w="1990"/>
          </w:tcPr>
          <w:p w14:paraId="41000000">
            <w:pPr>
              <w:tabs>
                <w:tab w:leader="none" w:pos="851" w:val="left"/>
              </w:tabs>
              <w:ind/>
            </w:pPr>
            <w:r>
              <w:t>П</w:t>
            </w:r>
            <w:r>
              <w:t>равила</w:t>
            </w:r>
            <w:r>
              <w:t xml:space="preserve"> рассмотрения и оценки заявок </w:t>
            </w:r>
          </w:p>
        </w:tc>
        <w:tc>
          <w:tcPr>
            <w:tcW w:type="dxa" w:w="7371"/>
          </w:tcPr>
          <w:p w14:paraId="42000000">
            <w:pPr>
              <w:ind/>
              <w:jc w:val="both"/>
            </w:pPr>
            <w:r>
              <w:t xml:space="preserve">Победителем (победителями) отбора признается (признаются) участник (участники) отбора, чья (чьи) заявка (заявки) соответствует (соответствуют) требованиям, установленным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"consultantplus://offline/ref=A362DC4154940DE9BF4655E10368A80142080EE858715B70B281AFEA3A01EBA9BEDFD795F88F295929365A4C379AD160CB2F6328FA418DE52F9CD137V9q2C"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частью 9</w:t>
            </w:r>
            <w:r>
              <w:rPr>
                <w:color w:val="0000FF"/>
              </w:rPr>
              <w:fldChar w:fldCharType="end"/>
            </w:r>
            <w:r>
              <w:t xml:space="preserve"> Порядка, а участник (участники) отбора при этом соответствует (соответствуют) категории и требованиям, установленным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"consultantplus://offline/ref=A362DC4154940DE9BF4655E10368A80142080EE858715B70B281AFEA3A01EBA9BEDFD795F88F295929365A4F319AD160CB2F6328FA418DE52F9CD137V9q2C"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частями 7</w:t>
            </w:r>
            <w:r>
              <w:rPr>
                <w:color w:val="0000FF"/>
              </w:rPr>
              <w:fldChar w:fldCharType="end"/>
            </w:r>
            <w:r>
              <w:t xml:space="preserve"> и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"consultantplus://offline/ref=A362DC4154940DE9BF4655E10368A80142080EE858715B70B281AFEA3A01EBA9BEDFD795F88F295929365A4F309AD160CB2F6328FA418DE52F9CD137V9q2C"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8</w:t>
            </w:r>
            <w:r>
              <w:rPr>
                <w:color w:val="0000FF"/>
              </w:rPr>
              <w:fldChar w:fldCharType="end"/>
            </w:r>
            <w:r>
              <w:t xml:space="preserve"> Порядка.</w:t>
            </w:r>
          </w:p>
        </w:tc>
      </w:tr>
      <w:tr>
        <w:tc>
          <w:tcPr>
            <w:tcW w:type="dxa" w:w="704"/>
          </w:tcPr>
          <w:p w14:paraId="43000000">
            <w:pPr>
              <w:tabs>
                <w:tab w:leader="none" w:pos="851" w:val="left"/>
              </w:tabs>
              <w:ind/>
              <w:jc w:val="both"/>
            </w:pPr>
            <w:r>
              <w:t>12.</w:t>
            </w:r>
          </w:p>
        </w:tc>
        <w:tc>
          <w:tcPr>
            <w:tcW w:type="dxa" w:w="1990"/>
          </w:tcPr>
          <w:p w14:paraId="44000000">
            <w:pPr>
              <w:tabs>
                <w:tab w:leader="none" w:pos="851" w:val="left"/>
              </w:tabs>
              <w:ind/>
            </w:pPr>
            <w:r>
              <w:t>П</w:t>
            </w:r>
            <w:r>
              <w:t>оряд</w:t>
            </w:r>
            <w:r>
              <w:t>ок</w:t>
            </w:r>
            <w:r>
              <w:t xml:space="preserve"> предоставления участникам отбора разъяснений положений объявления о проведении отбора, даты начала и окончания срока такого </w:t>
            </w:r>
            <w:r>
              <w:t xml:space="preserve">предоставления </w:t>
            </w:r>
          </w:p>
        </w:tc>
        <w:tc>
          <w:tcPr>
            <w:tcW w:type="dxa" w:w="7371"/>
          </w:tcPr>
          <w:p w14:paraId="4500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е позднее чем за пять рабочих дней до даты окончания срока подачи заявок любое заинтересованное лицо вправе направить в Министерство запрос о разъяснении положений объявления (далее - запрос) с указанием адреса электронной почты для направления ответа.</w:t>
            </w:r>
          </w:p>
          <w:p w14:paraId="4600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Министерство в течение трех рабочих дней со дня поступления запроса обязано направить разъяснения положений объявления на адрес электронной почты, указанный в запросе. Разъяснение указанной документации (положений объявления) по отбору не должно изменять ее (их) суть.</w:t>
            </w:r>
          </w:p>
          <w:p w14:paraId="47000000">
            <w:pPr>
              <w:pStyle w:val="Style_3"/>
              <w:ind w:firstLine="0" w:left="0"/>
              <w:jc w:val="both"/>
            </w:pPr>
            <w:r>
              <w:rPr>
                <w:rFonts w:ascii="Times New Roman" w:hAnsi="Times New Roman"/>
                <w:sz w:val="28"/>
              </w:rPr>
              <w:t>Запросы, поступившие позднее чем за пять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      </w:r>
          </w:p>
        </w:tc>
      </w:tr>
      <w:tr>
        <w:tc>
          <w:tcPr>
            <w:tcW w:type="dxa" w:w="704"/>
          </w:tcPr>
          <w:p w14:paraId="48000000">
            <w:pPr>
              <w:tabs>
                <w:tab w:leader="none" w:pos="851" w:val="left"/>
              </w:tabs>
              <w:ind/>
              <w:jc w:val="both"/>
            </w:pPr>
            <w:r>
              <w:t>13.</w:t>
            </w:r>
          </w:p>
        </w:tc>
        <w:tc>
          <w:tcPr>
            <w:tcW w:type="dxa" w:w="1990"/>
          </w:tcPr>
          <w:p w14:paraId="49000000">
            <w:pPr>
              <w:tabs>
                <w:tab w:leader="none" w:pos="851" w:val="left"/>
              </w:tabs>
              <w:ind/>
            </w:pPr>
            <w:r>
              <w:t>С</w:t>
            </w:r>
            <w:r>
              <w:t>рок</w:t>
            </w:r>
            <w:r>
              <w:t>и</w:t>
            </w:r>
            <w:r>
              <w:t xml:space="preserve"> подписания победителем (победителями) отбора соглашения о </w:t>
            </w:r>
            <w:r>
              <w:t xml:space="preserve">предоставлении </w:t>
            </w:r>
            <w:r>
              <w:t>субсидии</w:t>
            </w:r>
            <w:r>
              <w:t xml:space="preserve"> </w:t>
            </w:r>
            <w:r>
              <w:t xml:space="preserve">(далее – соглашение) </w:t>
            </w:r>
          </w:p>
        </w:tc>
        <w:tc>
          <w:tcPr>
            <w:tcW w:type="dxa" w:w="7371"/>
          </w:tcPr>
          <w:p w14:paraId="4A000000">
            <w:pPr>
              <w:tabs>
                <w:tab w:leader="none" w:pos="1134" w:val="left"/>
              </w:tabs>
              <w:ind/>
              <w:jc w:val="both"/>
            </w:pPr>
            <w:r>
              <w:t>Победитель отбора, которому направлен для подписания проект соглашения, в течение пяти рабочих дней со дня получения проекта соглашения подписывает его и направляет для подписания в Министерство.</w:t>
            </w:r>
          </w:p>
        </w:tc>
      </w:tr>
      <w:tr>
        <w:tc>
          <w:tcPr>
            <w:tcW w:type="dxa" w:w="704"/>
          </w:tcPr>
          <w:p w14:paraId="4B000000">
            <w:pPr>
              <w:tabs>
                <w:tab w:leader="none" w:pos="851" w:val="left"/>
              </w:tabs>
              <w:ind/>
              <w:jc w:val="both"/>
            </w:pPr>
            <w:r>
              <w:t>14.</w:t>
            </w:r>
          </w:p>
        </w:tc>
        <w:tc>
          <w:tcPr>
            <w:tcW w:type="dxa" w:w="1990"/>
          </w:tcPr>
          <w:p w14:paraId="4C000000">
            <w:pPr>
              <w:tabs>
                <w:tab w:leader="none" w:pos="851" w:val="left"/>
              </w:tabs>
              <w:ind/>
            </w:pPr>
            <w:r>
              <w:t>У</w:t>
            </w:r>
            <w:r>
              <w:t>словия</w:t>
            </w:r>
            <w:r>
              <w:t xml:space="preserve"> признания победителя (победителей) отбора уклонившимся (уклонившимися) от </w:t>
            </w:r>
            <w:r>
              <w:t xml:space="preserve">заключения соглашения </w:t>
            </w:r>
          </w:p>
        </w:tc>
        <w:tc>
          <w:tcPr>
            <w:tcW w:type="dxa" w:w="7371"/>
          </w:tcPr>
          <w:p w14:paraId="4D000000">
            <w:pPr>
              <w:tabs>
                <w:tab w:leader="none" w:pos="1134" w:val="left"/>
              </w:tabs>
              <w:ind/>
              <w:jc w:val="both"/>
            </w:pPr>
            <w:r>
              <w:t>В случае невыполнения победителем отбора порядка подписания соглашения, установленного частью</w:t>
            </w:r>
            <w:r>
              <w:t xml:space="preserve"> 25 Порядка</w:t>
            </w:r>
            <w:r>
              <w:t>, или в случае наличия недостоверных сведений в проекте соглашения победитель отбора признается уклонившимся от заключения соглашения.</w:t>
            </w:r>
          </w:p>
        </w:tc>
      </w:tr>
      <w:tr>
        <w:tc>
          <w:tcPr>
            <w:tcW w:type="dxa" w:w="704"/>
          </w:tcPr>
          <w:p w14:paraId="4E000000">
            <w:pPr>
              <w:tabs>
                <w:tab w:leader="none" w:pos="851" w:val="left"/>
              </w:tabs>
              <w:ind/>
              <w:jc w:val="both"/>
            </w:pPr>
            <w:r>
              <w:t>15.</w:t>
            </w:r>
          </w:p>
        </w:tc>
        <w:tc>
          <w:tcPr>
            <w:tcW w:type="dxa" w:w="1990"/>
          </w:tcPr>
          <w:p w14:paraId="4F000000">
            <w:pPr>
              <w:tabs>
                <w:tab w:leader="none" w:pos="851" w:val="left"/>
              </w:tabs>
              <w:ind/>
            </w:pPr>
            <w:r>
              <w:t>Д</w:t>
            </w:r>
            <w:r>
              <w:t>ат</w:t>
            </w:r>
            <w:r>
              <w:t>а</w:t>
            </w:r>
            <w:r>
              <w:t xml:space="preserve"> размещения результатов отбора на едином портале и на официальном сайте Министерства </w:t>
            </w:r>
          </w:p>
        </w:tc>
        <w:tc>
          <w:tcPr>
            <w:tcW w:type="dxa" w:w="7371"/>
          </w:tcPr>
          <w:p w14:paraId="50000000">
            <w:pPr>
              <w:pStyle w:val="Style_3"/>
              <w:tabs>
                <w:tab w:leader="none" w:pos="993" w:val="left"/>
              </w:tabs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08.04.2024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5100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Министерство в срок не позднее десяти рабочих дней со дня завершения отбора размещает на едином портале и на официальном сайте Министерства информацию о результатах отбора, включающую:</w:t>
            </w:r>
          </w:p>
          <w:p w14:paraId="52000000">
            <w:pPr>
              <w:pStyle w:val="Style_3"/>
              <w:ind w:firstLine="54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 дату, время и место проведения рассмотрения заявок;</w:t>
            </w:r>
          </w:p>
          <w:p w14:paraId="53000000">
            <w:pPr>
              <w:pStyle w:val="Style_3"/>
              <w:ind w:firstLine="54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 информацию об участниках отбора, заявки которых были рассмотрены;</w:t>
            </w:r>
          </w:p>
          <w:p w14:paraId="54000000">
            <w:pPr>
              <w:pStyle w:val="Style_3"/>
              <w:ind w:firstLine="540" w:left="0"/>
              <w:jc w:val="both"/>
            </w:pPr>
            <w:r>
              <w:rPr>
                <w:rFonts w:ascii="Times New Roman" w:hAnsi="Times New Roman"/>
                <w:sz w:val="28"/>
              </w:rPr>
              <w:t>3)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      </w:r>
          </w:p>
          <w:p w14:paraId="55000000">
            <w:pPr>
              <w:spacing w:after="0" w:before="0"/>
              <w:ind w:firstLine="540" w:left="0" w:right="0"/>
              <w:jc w:val="both"/>
              <w:rPr>
                <w:b w:val="0"/>
              </w:rPr>
            </w:pPr>
            <w:r>
              <w:rPr>
                <w:b w:val="0"/>
              </w:rPr>
              <w:t>4) информацию о победителе отбора и о размере предоставляемой ему субсидии.</w:t>
            </w:r>
          </w:p>
        </w:tc>
      </w:tr>
      <w:tr>
        <w:tc>
          <w:tcPr>
            <w:tcW w:type="dxa" w:w="704"/>
          </w:tcPr>
          <w:p w14:paraId="56000000">
            <w:pPr>
              <w:tabs>
                <w:tab w:leader="none" w:pos="851" w:val="left"/>
              </w:tabs>
              <w:ind/>
              <w:jc w:val="both"/>
            </w:pPr>
            <w:r>
              <w:t>16.</w:t>
            </w:r>
          </w:p>
        </w:tc>
        <w:tc>
          <w:tcPr>
            <w:tcW w:type="dxa" w:w="1990"/>
          </w:tcPr>
          <w:p w14:paraId="57000000">
            <w:pPr>
              <w:ind/>
              <w:jc w:val="both"/>
            </w:pPr>
            <w:r>
              <w:t>Наименование, место нахождения, почтовый адрес, адрес электронной почты Министерства</w:t>
            </w:r>
          </w:p>
          <w:p w14:paraId="58000000">
            <w:pPr>
              <w:tabs>
                <w:tab w:leader="none" w:pos="851" w:val="left"/>
              </w:tabs>
              <w:ind/>
            </w:pPr>
          </w:p>
        </w:tc>
        <w:tc>
          <w:tcPr>
            <w:tcW w:type="dxa" w:w="7371"/>
          </w:tcPr>
          <w:p w14:paraId="59000000">
            <w:pPr>
              <w:pStyle w:val="Style_3"/>
              <w:ind w:firstLine="598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</w:t>
            </w:r>
            <w:r>
              <w:rPr>
                <w:rFonts w:ascii="Times New Roman" w:hAnsi="Times New Roman"/>
                <w:sz w:val="28"/>
              </w:rPr>
              <w:t>олное наименование: Министерство жилищно-коммунального хозяйства и энергетики Камчатского края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5A000000">
            <w:pPr>
              <w:pStyle w:val="Style_3"/>
              <w:ind w:firstLine="598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сокращенное наименование: </w:t>
            </w:r>
            <w:r>
              <w:rPr>
                <w:rFonts w:ascii="Times New Roman" w:hAnsi="Times New Roman"/>
                <w:sz w:val="28"/>
              </w:rPr>
              <w:t xml:space="preserve">Министерство </w:t>
            </w:r>
            <w:r>
              <w:rPr>
                <w:rFonts w:ascii="Times New Roman" w:hAnsi="Times New Roman"/>
                <w:sz w:val="28"/>
              </w:rPr>
              <w:t>ЖКХ</w:t>
            </w:r>
            <w:r>
              <w:rPr>
                <w:rFonts w:ascii="Times New Roman" w:hAnsi="Times New Roman"/>
                <w:sz w:val="28"/>
              </w:rPr>
              <w:t xml:space="preserve"> и энергетики Камчатского края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5B000000">
            <w:pPr>
              <w:pStyle w:val="Style_3"/>
              <w:ind w:firstLine="598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место нахождения: 683031, Камчатский край, г. Петропавловск-Камчатский, проспект Карла Маркса, д. 5;</w:t>
            </w:r>
          </w:p>
          <w:p w14:paraId="5C000000">
            <w:pPr>
              <w:pStyle w:val="Style_3"/>
              <w:ind w:firstLine="598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почтовый адрес: 683031, Камчатский край, г. Петропавловск-Камчатский, проспект Карла Маркса, д. 5;</w:t>
            </w:r>
          </w:p>
          <w:p w14:paraId="5D000000">
            <w:pPr>
              <w:pStyle w:val="Style_3"/>
              <w:ind w:firstLine="598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адрес электронной почты: </w:t>
            </w:r>
            <w:r>
              <w:rPr>
                <w:rStyle w:val="Style_4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sz w:val="28"/>
              </w:rPr>
              <w:instrText>HYPERLINK "mailto:tek1@kamgov.ru"</w:instrText>
            </w:r>
            <w:r>
              <w:rPr>
                <w:rStyle w:val="Style_4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sz w:val="28"/>
              </w:rPr>
              <w:t>tek</w:t>
            </w:r>
            <w:r>
              <w:rPr>
                <w:rStyle w:val="Style_4_ch"/>
                <w:rFonts w:ascii="Times New Roman" w:hAnsi="Times New Roman"/>
                <w:sz w:val="28"/>
              </w:rPr>
              <w:t>1@</w:t>
            </w:r>
            <w:r>
              <w:rPr>
                <w:rStyle w:val="Style_4_ch"/>
                <w:rFonts w:ascii="Times New Roman" w:hAnsi="Times New Roman"/>
                <w:sz w:val="28"/>
              </w:rPr>
              <w:t>kamgov</w:t>
            </w:r>
            <w:r>
              <w:rPr>
                <w:rStyle w:val="Style_4_ch"/>
                <w:rFonts w:ascii="Times New Roman" w:hAnsi="Times New Roman"/>
                <w:sz w:val="28"/>
              </w:rPr>
              <w:t>.</w:t>
            </w:r>
            <w:r>
              <w:rPr>
                <w:rStyle w:val="Style_4_ch"/>
                <w:rFonts w:ascii="Times New Roman" w:hAnsi="Times New Roman"/>
                <w:sz w:val="28"/>
              </w:rPr>
              <w:t>ru</w:t>
            </w:r>
            <w:r>
              <w:rPr>
                <w:rStyle w:val="Style_4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14:paraId="5E000000">
      <w:bookmarkStart w:id="3" w:name="_GoBack"/>
      <w:bookmarkEnd w:id="3"/>
    </w:p>
    <w:p w14:paraId="5F000000"/>
    <w:p w14:paraId="60000000"/>
    <w:p w14:paraId="61000000"/>
    <w:p w14:paraId="62000000"/>
    <w:p w14:paraId="63000000"/>
    <w:p w14:paraId="64000000"/>
    <w:p w14:paraId="65000000"/>
    <w:p w14:paraId="66000000"/>
    <w:p w14:paraId="67000000"/>
    <w:p w14:paraId="68000000"/>
    <w:p w14:paraId="69000000"/>
    <w:p w14:paraId="6A000000"/>
    <w:p w14:paraId="6B000000"/>
    <w:p w14:paraId="6C000000"/>
    <w:p w14:paraId="6D000000"/>
    <w:p w14:paraId="6E000000"/>
    <w:p w14:paraId="6F000000"/>
    <w:p w14:paraId="70000000"/>
    <w:p w14:paraId="71000000"/>
    <w:p w14:paraId="72000000"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margin">
                  <wp:posOffset>-100330</wp:posOffset>
                </wp:positionH>
                <wp:positionV relativeFrom="margin">
                  <wp:posOffset>9070340</wp:posOffset>
                </wp:positionV>
                <wp:extent cx="2973705" cy="35306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297370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000000">
                            <w:pPr>
                              <w:pStyle w:val="Style_5"/>
                              <w:ind w:firstLine="284" w:left="-28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Попова Елена Николаевна</w:t>
                            </w:r>
                            <w:r>
                              <w:rPr>
                                <w:sz w:val="22"/>
                              </w:rPr>
                              <w:t xml:space="preserve"> +7(4152) </w:t>
                            </w:r>
                            <w:r>
                              <w:rPr>
                                <w:sz w:val="22"/>
                              </w:rPr>
                              <w:t>42-03-11</w:t>
                            </w: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sectPr>
      <w:pgSz w:h="16838" w:orient="portrait" w:w="11906"/>
      <w:pgMar w:bottom="1134" w:footer="708" w:gutter="0" w:header="708" w:left="1134" w:right="707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0" w:line="240" w:lineRule="auto"/>
      <w:ind/>
    </w:pPr>
    <w:rPr>
      <w:rFonts w:ascii="Times New Roman" w:hAnsi="Times New Roman"/>
      <w:sz w:val="28"/>
    </w:rPr>
  </w:style>
  <w:style w:default="1" w:styleId="Style_6_ch" w:type="character">
    <w:name w:val="Normal"/>
    <w:link w:val="Style_6"/>
    <w:rPr>
      <w:rFonts w:ascii="Times New Roman" w:hAnsi="Times New Roman"/>
      <w:sz w:val="28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toc 3"/>
    <w:next w:val="Style_6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3" w:type="paragraph">
    <w:name w:val="ConsPlusNormal"/>
    <w:link w:val="Style_3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3_ch" w:type="character">
    <w:name w:val="ConsPlusNormal"/>
    <w:link w:val="Style_3"/>
    <w:rPr>
      <w:rFonts w:ascii="Arial" w:hAnsi="Arial"/>
      <w:sz w:val="20"/>
    </w:rPr>
  </w:style>
  <w:style w:styleId="Style_14" w:type="paragraph">
    <w:name w:val="heading 5"/>
    <w:next w:val="Style_6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6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" w:type="paragraph">
    <w:name w:val="ConsPlusTitle"/>
    <w:link w:val="Style_1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1_ch" w:type="character">
    <w:name w:val="ConsPlusTitle"/>
    <w:link w:val="Style_1"/>
    <w:rPr>
      <w:rFonts w:ascii="Calibri" w:hAnsi="Calibri"/>
      <w:b w:val="1"/>
    </w:rPr>
  </w:style>
  <w:style w:styleId="Style_5" w:type="paragraph">
    <w:name w:val="footer"/>
    <w:basedOn w:val="Style_6"/>
    <w:link w:val="Style_5_ch"/>
    <w:pPr>
      <w:tabs>
        <w:tab w:leader="none" w:pos="4677" w:val="center"/>
        <w:tab w:leader="none" w:pos="9355" w:val="right"/>
      </w:tabs>
      <w:ind/>
    </w:pPr>
  </w:style>
  <w:style w:styleId="Style_5_ch" w:type="character">
    <w:name w:val="footer"/>
    <w:basedOn w:val="Style_6_ch"/>
    <w:link w:val="Style_5"/>
  </w:style>
  <w:style w:styleId="Style_4" w:type="paragraph">
    <w:name w:val="Hyperlink"/>
    <w:basedOn w:val="Style_11"/>
    <w:link w:val="Style_4_ch"/>
    <w:rPr>
      <w:color w:themeColor="hyperlink" w:val="0563C1"/>
      <w:u w:val="single"/>
    </w:rPr>
  </w:style>
  <w:style w:styleId="Style_4_ch" w:type="character">
    <w:name w:val="Hyperlink"/>
    <w:basedOn w:val="Style_11_ch"/>
    <w:link w:val="Style_4"/>
    <w:rPr>
      <w:color w:themeColor="hyperlink" w:val="0563C1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6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6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6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6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6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6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6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6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26" w:type="paragraph">
    <w:name w:val="Plain Text"/>
    <w:basedOn w:val="Style_6"/>
    <w:link w:val="Style_26_ch"/>
    <w:rPr>
      <w:rFonts w:ascii="Calibri" w:hAnsi="Calibri"/>
      <w:sz w:val="22"/>
    </w:rPr>
  </w:style>
  <w:style w:styleId="Style_26_ch" w:type="character">
    <w:name w:val="Plain Text"/>
    <w:basedOn w:val="Style_6_ch"/>
    <w:link w:val="Style_26"/>
    <w:rPr>
      <w:rFonts w:ascii="Calibri" w:hAnsi="Calibri"/>
      <w:sz w:val="22"/>
    </w:rPr>
  </w:style>
  <w:style w:styleId="Style_2" w:type="table">
    <w:name w:val="Table Grid"/>
    <w:basedOn w:val="Style_2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2024-03-19T02:32:48Z</dcterms:modified>
</cp:coreProperties>
</file>