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1.xml" ContentType="application/vnd.openxmlformats-officedocument.wordprocessingml.header+xml"/>
  <Override PartName="/word/theme/theme1.xml" ContentType="application/vnd.openxmlformats-officedocument.theme+xml"/>
  <Override PartName="/word/document.xml" ContentType="application/vnd.openxmlformats-officedocument.wordprocessingml.document.main+xml"/>
  <Override PartName="/word/styles.xml" ContentType="application/vnd.openxmlformats-officedocument.wordprocessingml.style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Title"/>
        <w:jc w:val="center"/>
        <w:rPr>
          <w:rFonts w:ascii="Times New Roman" w:hAnsi="Times New Roman" w:cs="Times New Roman"/>
          <w:b w:val="false"/>
          <w:b w:val="false"/>
          <w:sz w:val="28"/>
          <w:szCs w:val="28"/>
        </w:rPr>
      </w:pPr>
      <w:r>
        <w:rPr>
          <w:rFonts w:cs="Times New Roman" w:ascii="Times New Roman" w:hAnsi="Times New Roman"/>
          <w:b w:val="false"/>
          <w:sz w:val="28"/>
          <w:szCs w:val="28"/>
        </w:rPr>
        <w:t>Объявление</w:t>
      </w:r>
    </w:p>
    <w:p>
      <w:pPr>
        <w:pStyle w:val="Normal"/>
        <w:jc w:val="center"/>
        <w:rPr>
          <w:rFonts w:eastAsia="Calibri"/>
          <w:szCs w:val="28"/>
          <w:lang w:eastAsia="en-US"/>
        </w:rPr>
      </w:pPr>
      <w:r>
        <w:rPr>
          <w:szCs w:val="28"/>
        </w:rPr>
        <w:t xml:space="preserve">о проведении отбора получателей </w:t>
      </w:r>
      <w:r>
        <w:rPr>
          <w:spacing w:val="4"/>
          <w:szCs w:val="28"/>
        </w:rPr>
        <w:t xml:space="preserve">из краевого бюджета </w:t>
      </w:r>
      <w:r>
        <w:rPr>
          <w:rFonts w:eastAsia="Calibri" w:eastAsiaTheme="minorHAnsi"/>
          <w:szCs w:val="28"/>
          <w:lang w:eastAsia="en-US"/>
        </w:rPr>
        <w:t>субсидий исполнителям коммунальных услуг в целях возмещения недополученных доходов, возникших в результате обеспечения изменения размера вносимой гражданами платы за коммунальные услуги в соответствии с предельными (максимальными) индексами изменения размера вносимой гражданами платы за коммунальные услуги в муниципальных образованиях в Камчатском крае</w:t>
      </w:r>
    </w:p>
    <w:p>
      <w:pPr>
        <w:pStyle w:val="Normal"/>
        <w:jc w:val="center"/>
        <w:rPr>
          <w:rFonts w:eastAsia="Calibri"/>
          <w:szCs w:val="28"/>
          <w:lang w:eastAsia="en-US"/>
        </w:rPr>
      </w:pPr>
      <w:r>
        <w:rPr>
          <w:rFonts w:eastAsia="Calibri" w:eastAsiaTheme="minorHAnsi"/>
          <w:szCs w:val="28"/>
          <w:lang w:eastAsia="en-US"/>
        </w:rPr>
        <w:t xml:space="preserve"> </w:t>
      </w:r>
    </w:p>
    <w:p>
      <w:pPr>
        <w:pStyle w:val="Normal"/>
        <w:ind w:firstLine="709"/>
        <w:jc w:val="both"/>
        <w:rPr>
          <w:rFonts w:eastAsia="Calibri"/>
          <w:szCs w:val="28"/>
          <w:lang w:eastAsia="en-US"/>
        </w:rPr>
      </w:pPr>
      <w:r>
        <w:rPr>
          <w:szCs w:val="28"/>
        </w:rPr>
        <w:t xml:space="preserve">Министерством жилищно-коммунального хозяйства и энергетики Камчатского края (далее – Министерство) объявлен отбор получателей </w:t>
      </w:r>
      <w:r>
        <w:rPr>
          <w:spacing w:val="4"/>
          <w:szCs w:val="28"/>
        </w:rPr>
        <w:t xml:space="preserve">из краевого бюджета </w:t>
      </w:r>
      <w:r>
        <w:rPr>
          <w:rFonts w:eastAsia="Calibri" w:eastAsiaTheme="minorHAnsi"/>
          <w:szCs w:val="28"/>
          <w:lang w:eastAsia="en-US"/>
        </w:rPr>
        <w:t>субсидий исполнителям коммунальных услуг в целях возмещения недополученных доходов, возникших в результате обеспечения изменения размера вносимой гражданами платы за коммунальные услуги в соответствии с предельными (максимальными) индексами изменения размера вносимой гражданами платы за коммунальные услуги в муниципальных образованиях в Камчатском крае</w:t>
      </w:r>
      <w:r>
        <w:rPr>
          <w:szCs w:val="28"/>
        </w:rPr>
        <w:t xml:space="preserve"> на 2024 год, проводимый в соответствии с Порядком </w:t>
      </w:r>
      <w:r>
        <w:rPr>
          <w:rFonts w:eastAsia="Calibri" w:eastAsiaTheme="minorHAnsi"/>
          <w:szCs w:val="28"/>
          <w:lang w:eastAsia="en-US"/>
        </w:rPr>
        <w:t>предоставления субсидий исполнителям коммунальных услуг в целях возмещения недополученных доходов, возникших в результате обеспечения изменения размера вносимой гражданами платы за коммунальные услуги в соответствии с предельными (максимальными) индексами изменения размера вносимой гражданами платы за коммунальные услуги в муниципальных образованиях в Камчатском крае</w:t>
      </w:r>
      <w:r>
        <w:rPr>
          <w:szCs w:val="28"/>
        </w:rPr>
        <w:t>, утвержденным постановлением Правительства Камчатского края от 23.03.2015 № 117-П  (далее – Порядок).</w:t>
      </w:r>
    </w:p>
    <w:p>
      <w:pPr>
        <w:pStyle w:val="Normal"/>
        <w:tabs>
          <w:tab w:val="clear" w:pos="708"/>
          <w:tab w:val="left" w:pos="851" w:leader="none"/>
        </w:tabs>
        <w:ind w:firstLine="709"/>
        <w:jc w:val="both"/>
        <w:rPr>
          <w:szCs w:val="28"/>
        </w:rPr>
      </w:pPr>
      <w:r>
        <w:rPr>
          <w:szCs w:val="28"/>
        </w:rPr>
      </w:r>
    </w:p>
    <w:tbl>
      <w:tblPr>
        <w:tblStyle w:val="a3"/>
        <w:tblW w:w="9632" w:type="dxa"/>
        <w:jc w:val="left"/>
        <w:tblInd w:w="-5" w:type="dxa"/>
        <w:tblLayout w:type="fixed"/>
        <w:tblCellMar>
          <w:top w:w="0" w:type="dxa"/>
          <w:left w:w="108" w:type="dxa"/>
          <w:bottom w:w="0" w:type="dxa"/>
          <w:right w:w="108" w:type="dxa"/>
        </w:tblCellMar>
        <w:tblLook w:noVBand="1" w:val="04a0" w:noHBand="0" w:lastColumn="0" w:firstColumn="1" w:lastRow="0" w:firstRow="1"/>
      </w:tblPr>
      <w:tblGrid>
        <w:gridCol w:w="703"/>
        <w:gridCol w:w="2414"/>
        <w:gridCol w:w="6515"/>
      </w:tblGrid>
      <w:tr>
        <w:trPr>
          <w:tblHeader w:val="true"/>
        </w:trPr>
        <w:tc>
          <w:tcPr>
            <w:tcW w:w="703" w:type="dxa"/>
            <w:tcBorders/>
          </w:tcPr>
          <w:p>
            <w:pPr>
              <w:pStyle w:val="Normal"/>
              <w:widowControl w:val="false"/>
              <w:tabs>
                <w:tab w:val="clear" w:pos="708"/>
                <w:tab w:val="left" w:pos="851" w:leader="none"/>
              </w:tabs>
              <w:suppressAutoHyphens w:val="true"/>
              <w:spacing w:before="0" w:after="0"/>
              <w:jc w:val="center"/>
              <w:rPr>
                <w:szCs w:val="28"/>
              </w:rPr>
            </w:pPr>
            <w:r>
              <w:rPr>
                <w:kern w:val="0"/>
                <w:szCs w:val="28"/>
                <w:lang w:val="ru-RU" w:bidi="ar-SA"/>
              </w:rPr>
              <w:t>1</w:t>
            </w:r>
          </w:p>
        </w:tc>
        <w:tc>
          <w:tcPr>
            <w:tcW w:w="2414" w:type="dxa"/>
            <w:tcBorders/>
          </w:tcPr>
          <w:p>
            <w:pPr>
              <w:pStyle w:val="Normal"/>
              <w:widowControl w:val="false"/>
              <w:suppressAutoHyphens w:val="true"/>
              <w:spacing w:before="0" w:after="0"/>
              <w:jc w:val="center"/>
              <w:rPr>
                <w:szCs w:val="28"/>
              </w:rPr>
            </w:pPr>
            <w:r>
              <w:rPr>
                <w:kern w:val="0"/>
                <w:szCs w:val="28"/>
                <w:lang w:val="ru-RU" w:bidi="ar-SA"/>
              </w:rPr>
              <w:t>2</w:t>
            </w:r>
          </w:p>
        </w:tc>
        <w:tc>
          <w:tcPr>
            <w:tcW w:w="6515" w:type="dxa"/>
            <w:tcBorders/>
          </w:tcPr>
          <w:p>
            <w:pPr>
              <w:pStyle w:val="Normal"/>
              <w:widowControl w:val="false"/>
              <w:tabs>
                <w:tab w:val="clear" w:pos="708"/>
                <w:tab w:val="left" w:pos="851" w:leader="none"/>
              </w:tabs>
              <w:suppressAutoHyphens w:val="true"/>
              <w:spacing w:before="0" w:after="0"/>
              <w:jc w:val="center"/>
              <w:rPr>
                <w:szCs w:val="28"/>
              </w:rPr>
            </w:pPr>
            <w:r>
              <w:rPr>
                <w:kern w:val="0"/>
                <w:szCs w:val="28"/>
                <w:lang w:val="ru-RU" w:bidi="ar-SA"/>
              </w:rPr>
              <w:t>3</w:t>
            </w:r>
          </w:p>
        </w:tc>
      </w:tr>
      <w:tr>
        <w:trPr/>
        <w:tc>
          <w:tcPr>
            <w:tcW w:w="703" w:type="dxa"/>
            <w:tcBorders/>
          </w:tcPr>
          <w:p>
            <w:pPr>
              <w:pStyle w:val="Normal"/>
              <w:widowControl w:val="false"/>
              <w:tabs>
                <w:tab w:val="clear" w:pos="708"/>
                <w:tab w:val="left" w:pos="851" w:leader="none"/>
              </w:tabs>
              <w:suppressAutoHyphens w:val="true"/>
              <w:spacing w:before="0" w:after="0"/>
              <w:jc w:val="both"/>
              <w:rPr>
                <w:szCs w:val="28"/>
              </w:rPr>
            </w:pPr>
            <w:r>
              <w:rPr>
                <w:kern w:val="0"/>
                <w:szCs w:val="28"/>
                <w:lang w:val="ru-RU" w:bidi="ar-SA"/>
              </w:rPr>
              <w:t>1.</w:t>
            </w:r>
          </w:p>
        </w:tc>
        <w:tc>
          <w:tcPr>
            <w:tcW w:w="2414" w:type="dxa"/>
            <w:tcBorders/>
          </w:tcPr>
          <w:p>
            <w:pPr>
              <w:pStyle w:val="Normal"/>
              <w:widowControl w:val="false"/>
              <w:suppressAutoHyphens w:val="true"/>
              <w:spacing w:before="0" w:after="0"/>
              <w:jc w:val="both"/>
              <w:rPr>
                <w:rFonts w:eastAsia="Calibri"/>
                <w:szCs w:val="28"/>
                <w:lang w:eastAsia="en-US"/>
              </w:rPr>
            </w:pPr>
            <w:r>
              <w:rPr>
                <w:rFonts w:eastAsia="Calibri" w:eastAsiaTheme="minorHAnsi"/>
                <w:kern w:val="0"/>
                <w:szCs w:val="28"/>
                <w:lang w:val="ru-RU" w:eastAsia="en-US" w:bidi="ar-SA"/>
              </w:rPr>
              <w:t>Местонахождение (почтовый адрес) Министерства, адрес электронной почты, номера телефонов</w:t>
            </w:r>
          </w:p>
          <w:p>
            <w:pPr>
              <w:pStyle w:val="Normal"/>
              <w:widowControl w:val="false"/>
              <w:tabs>
                <w:tab w:val="clear" w:pos="708"/>
                <w:tab w:val="left" w:pos="851" w:leader="none"/>
              </w:tabs>
              <w:suppressAutoHyphens w:val="true"/>
              <w:spacing w:before="0" w:after="0"/>
              <w:jc w:val="left"/>
              <w:rPr>
                <w:szCs w:val="28"/>
              </w:rPr>
            </w:pPr>
            <w:r>
              <w:rPr>
                <w:szCs w:val="28"/>
              </w:rPr>
            </w:r>
          </w:p>
        </w:tc>
        <w:tc>
          <w:tcPr>
            <w:tcW w:w="6515" w:type="dxa"/>
            <w:tcBorders/>
          </w:tcPr>
          <w:p>
            <w:pPr>
              <w:pStyle w:val="ConsPlusNormal1"/>
              <w:widowControl w:val="false"/>
              <w:suppressAutoHyphens w:val="true"/>
              <w:spacing w:before="0" w:after="0"/>
              <w:ind w:firstLine="598"/>
              <w:jc w:val="both"/>
              <w:rPr>
                <w:rFonts w:ascii="Times New Roman" w:hAnsi="Times New Roman" w:cs="Times New Roman"/>
                <w:sz w:val="28"/>
                <w:szCs w:val="28"/>
              </w:rPr>
            </w:pPr>
            <w:r>
              <w:rPr>
                <w:rFonts w:cs="Times New Roman" w:ascii="Times New Roman" w:hAnsi="Times New Roman"/>
                <w:kern w:val="0"/>
                <w:sz w:val="28"/>
                <w:szCs w:val="28"/>
                <w:lang w:val="ru-RU" w:bidi="ar-SA"/>
              </w:rPr>
              <w:t>- полное наименование: Министерство жилищно-коммунального хозяйства и энергетики Камчатского края;</w:t>
            </w:r>
          </w:p>
          <w:p>
            <w:pPr>
              <w:pStyle w:val="ConsPlusNormal1"/>
              <w:widowControl w:val="false"/>
              <w:suppressAutoHyphens w:val="true"/>
              <w:spacing w:before="0" w:after="0"/>
              <w:ind w:firstLine="598"/>
              <w:jc w:val="both"/>
              <w:rPr>
                <w:rFonts w:ascii="Times New Roman" w:hAnsi="Times New Roman" w:cs="Times New Roman"/>
                <w:sz w:val="28"/>
                <w:szCs w:val="28"/>
              </w:rPr>
            </w:pPr>
            <w:r>
              <w:rPr>
                <w:rFonts w:cs="Times New Roman" w:ascii="Times New Roman" w:hAnsi="Times New Roman"/>
                <w:kern w:val="0"/>
                <w:sz w:val="28"/>
                <w:szCs w:val="28"/>
                <w:lang w:val="ru-RU" w:bidi="ar-SA"/>
              </w:rPr>
              <w:t>- сокращенное наименование: Министерство ЖКХ и энергетики Камчатского края;</w:t>
            </w:r>
          </w:p>
          <w:p>
            <w:pPr>
              <w:pStyle w:val="ConsPlusNormal1"/>
              <w:widowControl w:val="false"/>
              <w:suppressAutoHyphens w:val="true"/>
              <w:spacing w:before="0" w:after="0"/>
              <w:ind w:firstLine="598"/>
              <w:jc w:val="both"/>
              <w:rPr>
                <w:rFonts w:ascii="Times New Roman" w:hAnsi="Times New Roman" w:cs="Times New Roman"/>
                <w:sz w:val="28"/>
                <w:szCs w:val="28"/>
              </w:rPr>
            </w:pPr>
            <w:r>
              <w:rPr>
                <w:rFonts w:cs="Times New Roman" w:ascii="Times New Roman" w:hAnsi="Times New Roman"/>
                <w:kern w:val="0"/>
                <w:sz w:val="28"/>
                <w:szCs w:val="28"/>
                <w:lang w:val="ru-RU" w:bidi="ar-SA"/>
              </w:rPr>
              <w:t>- место нахождения: 683031, Камчатский край, г. Петропавловск-Камчатский, проспект Карла Маркса, д. 5;</w:t>
            </w:r>
          </w:p>
          <w:p>
            <w:pPr>
              <w:pStyle w:val="ConsPlusNormal1"/>
              <w:widowControl w:val="false"/>
              <w:suppressAutoHyphens w:val="true"/>
              <w:spacing w:before="0" w:after="0"/>
              <w:ind w:firstLine="598"/>
              <w:jc w:val="both"/>
              <w:rPr>
                <w:rFonts w:ascii="Times New Roman" w:hAnsi="Times New Roman" w:cs="Times New Roman"/>
                <w:sz w:val="28"/>
                <w:szCs w:val="28"/>
              </w:rPr>
            </w:pPr>
            <w:r>
              <w:rPr>
                <w:rFonts w:cs="Times New Roman" w:ascii="Times New Roman" w:hAnsi="Times New Roman"/>
                <w:kern w:val="0"/>
                <w:sz w:val="28"/>
                <w:szCs w:val="28"/>
                <w:lang w:val="ru-RU" w:bidi="ar-SA"/>
              </w:rPr>
              <w:t>- почтовый адрес: 683031, Камчатский край, г. Петропавловск-Камчатский, проспект Карла Маркса, д. 5;</w:t>
            </w:r>
          </w:p>
          <w:p>
            <w:pPr>
              <w:pStyle w:val="ConsPlusNormal1"/>
              <w:widowControl w:val="false"/>
              <w:suppressAutoHyphens w:val="true"/>
              <w:spacing w:before="0" w:after="0"/>
              <w:ind w:firstLine="598"/>
              <w:jc w:val="both"/>
              <w:rPr>
                <w:rFonts w:ascii="Times New Roman" w:hAnsi="Times New Roman" w:cs="Times New Roman"/>
                <w:sz w:val="28"/>
                <w:szCs w:val="28"/>
              </w:rPr>
            </w:pPr>
            <w:r>
              <w:rPr>
                <w:rFonts w:cs="Times New Roman" w:ascii="Times New Roman" w:hAnsi="Times New Roman"/>
                <w:kern w:val="0"/>
                <w:sz w:val="28"/>
                <w:szCs w:val="28"/>
                <w:lang w:val="ru-RU" w:bidi="ar-SA"/>
              </w:rPr>
              <w:t xml:space="preserve">- адрес электронной почты: </w:t>
            </w:r>
            <w:hyperlink r:id="rId2">
              <w:r>
                <w:rPr>
                  <w:rStyle w:val="Style15"/>
                  <w:rFonts w:cs="Times New Roman" w:ascii="Times New Roman" w:hAnsi="Times New Roman"/>
                  <w:kern w:val="0"/>
                  <w:sz w:val="28"/>
                  <w:szCs w:val="28"/>
                  <w:lang w:val="en-US" w:bidi="ar-SA"/>
                </w:rPr>
                <w:t>tek</w:t>
              </w:r>
              <w:r>
                <w:rPr>
                  <w:rStyle w:val="Style15"/>
                  <w:rFonts w:cs="Times New Roman" w:ascii="Times New Roman" w:hAnsi="Times New Roman"/>
                  <w:kern w:val="0"/>
                  <w:sz w:val="28"/>
                  <w:szCs w:val="28"/>
                  <w:lang w:val="ru-RU" w:bidi="ar-SA"/>
                </w:rPr>
                <w:t>1@</w:t>
              </w:r>
              <w:r>
                <w:rPr>
                  <w:rStyle w:val="Style15"/>
                  <w:rFonts w:cs="Times New Roman" w:ascii="Times New Roman" w:hAnsi="Times New Roman"/>
                  <w:kern w:val="0"/>
                  <w:sz w:val="28"/>
                  <w:szCs w:val="28"/>
                  <w:lang w:val="en-US" w:bidi="ar-SA"/>
                </w:rPr>
                <w:t>kamgov</w:t>
              </w:r>
              <w:r>
                <w:rPr>
                  <w:rStyle w:val="Style15"/>
                  <w:rFonts w:cs="Times New Roman" w:ascii="Times New Roman" w:hAnsi="Times New Roman"/>
                  <w:kern w:val="0"/>
                  <w:sz w:val="28"/>
                  <w:szCs w:val="28"/>
                  <w:lang w:val="ru-RU" w:bidi="ar-SA"/>
                </w:rPr>
                <w:t>.</w:t>
              </w:r>
              <w:r>
                <w:rPr>
                  <w:rStyle w:val="Style15"/>
                  <w:rFonts w:cs="Times New Roman" w:ascii="Times New Roman" w:hAnsi="Times New Roman"/>
                  <w:kern w:val="0"/>
                  <w:sz w:val="28"/>
                  <w:szCs w:val="28"/>
                  <w:lang w:val="en-US" w:bidi="ar-SA"/>
                </w:rPr>
                <w:t>ru</w:t>
              </w:r>
            </w:hyperlink>
            <w:r>
              <w:rPr>
                <w:rFonts w:cs="Times New Roman" w:ascii="Times New Roman" w:hAnsi="Times New Roman"/>
                <w:kern w:val="0"/>
                <w:sz w:val="28"/>
                <w:szCs w:val="28"/>
                <w:lang w:val="ru-RU" w:bidi="ar-SA"/>
              </w:rPr>
              <w:t xml:space="preserve"> ;</w:t>
            </w:r>
          </w:p>
          <w:p>
            <w:pPr>
              <w:pStyle w:val="ConsPlusNormal1"/>
              <w:widowControl w:val="false"/>
              <w:suppressAutoHyphens w:val="true"/>
              <w:spacing w:before="0" w:after="0"/>
              <w:ind w:firstLine="598"/>
              <w:jc w:val="both"/>
              <w:rPr>
                <w:rFonts w:ascii="Times New Roman" w:hAnsi="Times New Roman" w:cs="Times New Roman"/>
                <w:sz w:val="28"/>
                <w:szCs w:val="28"/>
              </w:rPr>
            </w:pPr>
            <w:r>
              <w:rPr>
                <w:rFonts w:cs="Times New Roman" w:ascii="Times New Roman" w:hAnsi="Times New Roman"/>
                <w:kern w:val="0"/>
                <w:sz w:val="28"/>
                <w:szCs w:val="28"/>
                <w:lang w:val="ru-RU" w:bidi="ar-SA"/>
              </w:rPr>
              <w:t>- телефон приемной (4152) 41-24-20; контактный телефон (4152) 42-03-05</w:t>
            </w:r>
          </w:p>
          <w:p>
            <w:pPr>
              <w:pStyle w:val="ConsPlusNormal1"/>
              <w:widowControl w:val="false"/>
              <w:suppressAutoHyphens w:val="true"/>
              <w:spacing w:before="0" w:after="0"/>
              <w:ind w:firstLine="598"/>
              <w:jc w:val="both"/>
              <w:rPr>
                <w:rFonts w:ascii="Times New Roman" w:hAnsi="Times New Roman" w:cs="Times New Roman"/>
                <w:sz w:val="28"/>
                <w:szCs w:val="28"/>
              </w:rPr>
            </w:pPr>
            <w:r>
              <w:rPr>
                <w:rFonts w:cs="Times New Roman" w:ascii="Times New Roman" w:hAnsi="Times New Roman"/>
                <w:sz w:val="28"/>
                <w:szCs w:val="28"/>
              </w:rPr>
            </w:r>
          </w:p>
        </w:tc>
      </w:tr>
      <w:tr>
        <w:trPr/>
        <w:tc>
          <w:tcPr>
            <w:tcW w:w="703" w:type="dxa"/>
            <w:tcBorders/>
          </w:tcPr>
          <w:p>
            <w:pPr>
              <w:pStyle w:val="Normal"/>
              <w:widowControl w:val="false"/>
              <w:tabs>
                <w:tab w:val="clear" w:pos="708"/>
                <w:tab w:val="left" w:pos="851" w:leader="none"/>
              </w:tabs>
              <w:suppressAutoHyphens w:val="true"/>
              <w:spacing w:before="0" w:after="0"/>
              <w:jc w:val="both"/>
              <w:rPr>
                <w:szCs w:val="28"/>
              </w:rPr>
            </w:pPr>
            <w:r>
              <w:rPr>
                <w:kern w:val="0"/>
                <w:szCs w:val="28"/>
                <w:lang w:val="ru-RU" w:bidi="ar-SA"/>
              </w:rPr>
              <w:t>2.</w:t>
            </w:r>
          </w:p>
        </w:tc>
        <w:tc>
          <w:tcPr>
            <w:tcW w:w="2414" w:type="dxa"/>
            <w:tcBorders/>
          </w:tcPr>
          <w:p>
            <w:pPr>
              <w:pStyle w:val="Normal"/>
              <w:widowControl w:val="false"/>
              <w:suppressAutoHyphens w:val="true"/>
              <w:spacing w:before="0" w:after="0"/>
              <w:jc w:val="left"/>
              <w:rPr>
                <w:szCs w:val="28"/>
              </w:rPr>
            </w:pPr>
            <w:r>
              <w:rPr>
                <w:kern w:val="0"/>
                <w:szCs w:val="28"/>
                <w:lang w:val="ru-RU" w:bidi="ar-SA"/>
              </w:rPr>
              <w:t>Срок проведения отбора</w:t>
            </w:r>
          </w:p>
        </w:tc>
        <w:tc>
          <w:tcPr>
            <w:tcW w:w="6515" w:type="dxa"/>
            <w:tcBorders/>
          </w:tcPr>
          <w:p>
            <w:pPr>
              <w:pStyle w:val="Normal"/>
              <w:widowControl w:val="false"/>
              <w:tabs>
                <w:tab w:val="clear" w:pos="708"/>
                <w:tab w:val="left" w:pos="851" w:leader="none"/>
              </w:tabs>
              <w:suppressAutoHyphens w:val="true"/>
              <w:spacing w:before="0" w:after="0"/>
              <w:jc w:val="both"/>
              <w:rPr>
                <w:szCs w:val="28"/>
              </w:rPr>
            </w:pPr>
            <w:r>
              <w:rPr>
                <w:kern w:val="0"/>
                <w:szCs w:val="28"/>
                <w:lang w:val="ru-RU" w:bidi="ar-SA"/>
              </w:rPr>
              <w:t xml:space="preserve">с </w:t>
            </w:r>
            <w:r>
              <w:rPr>
                <w:kern w:val="0"/>
                <w:szCs w:val="28"/>
                <w:lang w:val="ru-RU" w:bidi="ar-SA"/>
              </w:rPr>
              <w:t>29</w:t>
            </w:r>
            <w:r>
              <w:rPr>
                <w:kern w:val="0"/>
                <w:szCs w:val="28"/>
                <w:lang w:val="ru-RU" w:bidi="ar-SA"/>
              </w:rPr>
              <w:t xml:space="preserve">.01.2024 по </w:t>
            </w:r>
            <w:r>
              <w:rPr>
                <w:kern w:val="0"/>
                <w:szCs w:val="28"/>
                <w:lang w:val="ru-RU" w:bidi="ar-SA"/>
              </w:rPr>
              <w:t>08</w:t>
            </w:r>
            <w:r>
              <w:rPr>
                <w:kern w:val="0"/>
                <w:szCs w:val="28"/>
                <w:lang w:val="ru-RU" w:bidi="ar-SA"/>
              </w:rPr>
              <w:t>.0</w:t>
            </w:r>
            <w:r>
              <w:rPr>
                <w:kern w:val="0"/>
                <w:szCs w:val="28"/>
                <w:lang w:val="ru-RU" w:bidi="ar-SA"/>
              </w:rPr>
              <w:t>2</w:t>
            </w:r>
            <w:r>
              <w:rPr>
                <w:kern w:val="0"/>
                <w:szCs w:val="28"/>
                <w:lang w:val="ru-RU" w:bidi="ar-SA"/>
              </w:rPr>
              <w:t>.2024 (включительно);</w:t>
            </w:r>
          </w:p>
          <w:p>
            <w:pPr>
              <w:pStyle w:val="Normal"/>
              <w:widowControl w:val="false"/>
              <w:tabs>
                <w:tab w:val="clear" w:pos="708"/>
                <w:tab w:val="left" w:pos="851" w:leader="none"/>
              </w:tabs>
              <w:suppressAutoHyphens w:val="true"/>
              <w:spacing w:before="0" w:after="0"/>
              <w:jc w:val="both"/>
              <w:rPr>
                <w:szCs w:val="28"/>
              </w:rPr>
            </w:pPr>
            <w:r>
              <w:rPr>
                <w:szCs w:val="28"/>
              </w:rPr>
            </w:r>
          </w:p>
        </w:tc>
      </w:tr>
      <w:tr>
        <w:trPr/>
        <w:tc>
          <w:tcPr>
            <w:tcW w:w="703" w:type="dxa"/>
            <w:tcBorders/>
          </w:tcPr>
          <w:p>
            <w:pPr>
              <w:pStyle w:val="Normal"/>
              <w:widowControl w:val="false"/>
              <w:tabs>
                <w:tab w:val="clear" w:pos="708"/>
                <w:tab w:val="left" w:pos="851" w:leader="none"/>
              </w:tabs>
              <w:suppressAutoHyphens w:val="true"/>
              <w:spacing w:before="0" w:after="0"/>
              <w:jc w:val="both"/>
              <w:rPr>
                <w:szCs w:val="28"/>
              </w:rPr>
            </w:pPr>
            <w:r>
              <w:rPr>
                <w:kern w:val="0"/>
                <w:szCs w:val="28"/>
                <w:lang w:val="ru-RU" w:bidi="ar-SA"/>
              </w:rPr>
              <w:t>3.</w:t>
            </w:r>
          </w:p>
        </w:tc>
        <w:tc>
          <w:tcPr>
            <w:tcW w:w="2414" w:type="dxa"/>
            <w:tcBorders/>
          </w:tcPr>
          <w:p>
            <w:pPr>
              <w:pStyle w:val="Normal"/>
              <w:widowControl w:val="false"/>
              <w:tabs>
                <w:tab w:val="clear" w:pos="708"/>
                <w:tab w:val="left" w:pos="851" w:leader="none"/>
              </w:tabs>
              <w:suppressAutoHyphens w:val="true"/>
              <w:spacing w:before="0" w:after="0"/>
              <w:jc w:val="left"/>
              <w:rPr>
                <w:szCs w:val="28"/>
              </w:rPr>
            </w:pPr>
            <w:r>
              <w:rPr>
                <w:kern w:val="0"/>
                <w:szCs w:val="28"/>
                <w:lang w:val="ru-RU" w:bidi="ar-SA"/>
              </w:rPr>
              <w:t xml:space="preserve">Дата начала подачи приема заявок </w:t>
            </w:r>
          </w:p>
        </w:tc>
        <w:tc>
          <w:tcPr>
            <w:tcW w:w="6515" w:type="dxa"/>
            <w:tcBorders/>
          </w:tcPr>
          <w:p>
            <w:pPr>
              <w:pStyle w:val="Normal"/>
              <w:widowControl w:val="false"/>
              <w:tabs>
                <w:tab w:val="clear" w:pos="708"/>
                <w:tab w:val="left" w:pos="851" w:leader="none"/>
              </w:tabs>
              <w:suppressAutoHyphens w:val="true"/>
              <w:spacing w:before="0" w:after="0"/>
              <w:jc w:val="both"/>
              <w:rPr>
                <w:szCs w:val="28"/>
              </w:rPr>
            </w:pPr>
            <w:r>
              <w:rPr>
                <w:kern w:val="0"/>
                <w:szCs w:val="28"/>
                <w:lang w:val="ru-RU" w:bidi="ar-SA"/>
              </w:rPr>
              <w:t>29</w:t>
            </w:r>
            <w:r>
              <w:rPr>
                <w:kern w:val="0"/>
                <w:szCs w:val="28"/>
                <w:lang w:val="ru-RU" w:bidi="ar-SA"/>
              </w:rPr>
              <w:t>.01.2024</w:t>
            </w:r>
          </w:p>
          <w:p>
            <w:pPr>
              <w:pStyle w:val="Normal"/>
              <w:widowControl w:val="false"/>
              <w:tabs>
                <w:tab w:val="clear" w:pos="708"/>
                <w:tab w:val="left" w:pos="851" w:leader="none"/>
              </w:tabs>
              <w:suppressAutoHyphens w:val="true"/>
              <w:spacing w:before="0" w:after="0"/>
              <w:jc w:val="both"/>
              <w:rPr>
                <w:szCs w:val="28"/>
              </w:rPr>
            </w:pPr>
            <w:r>
              <w:rPr>
                <w:szCs w:val="28"/>
              </w:rPr>
            </w:r>
          </w:p>
        </w:tc>
      </w:tr>
      <w:tr>
        <w:trPr/>
        <w:tc>
          <w:tcPr>
            <w:tcW w:w="703" w:type="dxa"/>
            <w:tcBorders/>
          </w:tcPr>
          <w:p>
            <w:pPr>
              <w:pStyle w:val="Normal"/>
              <w:widowControl w:val="false"/>
              <w:tabs>
                <w:tab w:val="clear" w:pos="708"/>
                <w:tab w:val="left" w:pos="851" w:leader="none"/>
              </w:tabs>
              <w:suppressAutoHyphens w:val="true"/>
              <w:spacing w:before="0" w:after="0"/>
              <w:jc w:val="both"/>
              <w:rPr>
                <w:szCs w:val="28"/>
              </w:rPr>
            </w:pPr>
            <w:r>
              <w:rPr>
                <w:kern w:val="0"/>
                <w:szCs w:val="28"/>
                <w:lang w:val="ru-RU" w:bidi="ar-SA"/>
              </w:rPr>
              <w:t>4.</w:t>
            </w:r>
          </w:p>
        </w:tc>
        <w:tc>
          <w:tcPr>
            <w:tcW w:w="2414" w:type="dxa"/>
            <w:tcBorders/>
          </w:tcPr>
          <w:p>
            <w:pPr>
              <w:pStyle w:val="Normal"/>
              <w:widowControl w:val="false"/>
              <w:suppressAutoHyphens w:val="true"/>
              <w:spacing w:before="0" w:after="0"/>
              <w:jc w:val="left"/>
              <w:rPr>
                <w:szCs w:val="28"/>
              </w:rPr>
            </w:pPr>
            <w:r>
              <w:rPr>
                <w:kern w:val="0"/>
                <w:szCs w:val="28"/>
                <w:lang w:val="ru-RU" w:bidi="ar-SA"/>
              </w:rPr>
              <w:t>Результат предоставления субсидии</w:t>
            </w:r>
          </w:p>
        </w:tc>
        <w:tc>
          <w:tcPr>
            <w:tcW w:w="6515" w:type="dxa"/>
            <w:tcBorders/>
          </w:tcPr>
          <w:p>
            <w:pPr>
              <w:pStyle w:val="Normal"/>
              <w:widowControl w:val="false"/>
              <w:suppressAutoHyphens w:val="true"/>
              <w:spacing w:before="0" w:after="0"/>
              <w:ind w:firstLine="601"/>
              <w:jc w:val="both"/>
              <w:rPr>
                <w:rFonts w:eastAsia="Calibri"/>
                <w:szCs w:val="28"/>
                <w:lang w:eastAsia="en-US"/>
              </w:rPr>
            </w:pPr>
            <w:r>
              <w:rPr>
                <w:kern w:val="0"/>
                <w:szCs w:val="28"/>
                <w:lang w:val="ru-RU" w:bidi="ar-SA"/>
              </w:rPr>
              <w:t xml:space="preserve">Результатом предоставления субсидии является </w:t>
            </w:r>
            <w:r>
              <w:rPr>
                <w:rFonts w:eastAsia="Calibri" w:eastAsiaTheme="minorHAnsi"/>
                <w:kern w:val="0"/>
                <w:szCs w:val="28"/>
                <w:lang w:val="ru-RU" w:eastAsia="en-US" w:bidi="ar-SA"/>
              </w:rPr>
              <w:t>отсутствие по состоянию на 31 декабря текущего финансового года фактов превышения вносимой гражданами платы за коммунальные услуги уровня предельных (максимальных) индексов изменения размера вносимой гражданами платы за коммунальные услуги в муниципальных образованиях в Камчатском крае, утверждаемых постановлением губернатора Камчатского края.</w:t>
            </w:r>
          </w:p>
          <w:p>
            <w:pPr>
              <w:pStyle w:val="Normal"/>
              <w:widowControl w:val="false"/>
              <w:suppressAutoHyphens w:val="true"/>
              <w:spacing w:before="0" w:after="0"/>
              <w:ind w:firstLine="601"/>
              <w:jc w:val="both"/>
              <w:rPr>
                <w:szCs w:val="28"/>
              </w:rPr>
            </w:pPr>
            <w:r>
              <w:rPr>
                <w:rFonts w:eastAsia="Calibri" w:eastAsiaTheme="minorHAnsi"/>
                <w:kern w:val="0"/>
                <w:szCs w:val="28"/>
                <w:lang w:val="ru-RU" w:eastAsia="en-US" w:bidi="ar-SA"/>
              </w:rPr>
              <w:t>Значение результата предоставления субсидии, с указанием даты завершения и конечного значения результата предоставления субсидии (конкретная количественная характеристика итогов), а также формы предоставления получателем субсидии отчетности о достижении показателя устанавливаются в соглашении.</w:t>
            </w:r>
          </w:p>
          <w:p>
            <w:pPr>
              <w:pStyle w:val="Normal"/>
              <w:widowControl w:val="false"/>
              <w:suppressAutoHyphens w:val="true"/>
              <w:spacing w:before="0" w:after="0"/>
              <w:ind w:firstLine="601"/>
              <w:jc w:val="both"/>
              <w:rPr>
                <w:szCs w:val="28"/>
              </w:rPr>
            </w:pPr>
            <w:r>
              <w:rPr>
                <w:szCs w:val="28"/>
              </w:rPr>
            </w:r>
          </w:p>
        </w:tc>
      </w:tr>
      <w:tr>
        <w:trPr/>
        <w:tc>
          <w:tcPr>
            <w:tcW w:w="703" w:type="dxa"/>
            <w:tcBorders/>
          </w:tcPr>
          <w:p>
            <w:pPr>
              <w:pStyle w:val="Normal"/>
              <w:widowControl w:val="false"/>
              <w:tabs>
                <w:tab w:val="clear" w:pos="708"/>
                <w:tab w:val="left" w:pos="851" w:leader="none"/>
              </w:tabs>
              <w:suppressAutoHyphens w:val="true"/>
              <w:spacing w:before="0" w:after="0"/>
              <w:jc w:val="both"/>
              <w:rPr>
                <w:szCs w:val="28"/>
              </w:rPr>
            </w:pPr>
            <w:r>
              <w:rPr>
                <w:kern w:val="0"/>
                <w:szCs w:val="28"/>
                <w:lang w:val="ru-RU" w:bidi="ar-SA"/>
              </w:rPr>
              <w:t>5.</w:t>
            </w:r>
          </w:p>
        </w:tc>
        <w:tc>
          <w:tcPr>
            <w:tcW w:w="2414" w:type="dxa"/>
            <w:tcBorders/>
          </w:tcPr>
          <w:p>
            <w:pPr>
              <w:pStyle w:val="Normal"/>
              <w:widowControl w:val="false"/>
              <w:tabs>
                <w:tab w:val="clear" w:pos="708"/>
                <w:tab w:val="left" w:pos="851" w:leader="none"/>
              </w:tabs>
              <w:suppressAutoHyphens w:val="true"/>
              <w:spacing w:before="0" w:after="0"/>
              <w:jc w:val="left"/>
              <w:rPr>
                <w:szCs w:val="28"/>
              </w:rPr>
            </w:pPr>
            <w:r>
              <w:rPr>
                <w:kern w:val="0"/>
                <w:szCs w:val="28"/>
                <w:lang w:val="ru-RU" w:bidi="ar-SA"/>
              </w:rPr>
              <w:t xml:space="preserve">Проведение отбора осуществляется на официальном сайте Министерства жилищно-коммунального хозяйства и энергетики Камчатского края </w:t>
            </w:r>
          </w:p>
        </w:tc>
        <w:tc>
          <w:tcPr>
            <w:tcW w:w="6515" w:type="dxa"/>
            <w:tcBorders/>
          </w:tcPr>
          <w:p>
            <w:pPr>
              <w:pStyle w:val="Normal"/>
              <w:widowControl w:val="false"/>
              <w:suppressAutoHyphens w:val="true"/>
              <w:spacing w:before="0" w:after="0"/>
              <w:ind w:firstLine="601"/>
              <w:jc w:val="both"/>
              <w:rPr>
                <w:szCs w:val="28"/>
              </w:rPr>
            </w:pPr>
            <w:r>
              <w:rPr>
                <w:kern w:val="0"/>
                <w:szCs w:val="28"/>
                <w:lang w:val="ru-RU" w:bidi="ar-SA"/>
              </w:rPr>
              <w:t xml:space="preserve">Министерство обеспечивает проведение отбора </w:t>
            </w:r>
            <w:r>
              <w:rPr>
                <w:rFonts w:eastAsia="Calibri" w:eastAsiaTheme="minorHAnsi"/>
                <w:kern w:val="0"/>
                <w:szCs w:val="28"/>
                <w:lang w:val="ru-RU" w:eastAsia="en-US" w:bidi="ar-SA"/>
              </w:rPr>
              <w:t xml:space="preserve">на странице Министерства на официальном сайте исполнительных органов Камчатского края в информационно-телекоммуникационной сети «Интернет» www.kamgov.ru/minzkh </w:t>
            </w:r>
            <w:r>
              <w:rPr>
                <w:kern w:val="0"/>
                <w:szCs w:val="28"/>
                <w:lang w:val="ru-RU" w:bidi="ar-SA"/>
              </w:rPr>
              <w:t>в разделе «Текущая деятельность» (вкладка «Отбор на предоставление субсидий», ссылка</w:t>
            </w:r>
          </w:p>
          <w:p>
            <w:pPr>
              <w:pStyle w:val="Normal"/>
              <w:widowControl w:val="false"/>
              <w:suppressAutoHyphens w:val="true"/>
              <w:spacing w:before="0" w:after="0"/>
              <w:ind w:hanging="0"/>
              <w:jc w:val="both"/>
              <w:rPr>
                <w:szCs w:val="28"/>
              </w:rPr>
            </w:pPr>
            <w:hyperlink r:id="rId3">
              <w:r>
                <w:rPr>
                  <w:rStyle w:val="Style15"/>
                  <w:kern w:val="0"/>
                  <w:szCs w:val="28"/>
                  <w:lang w:val="ru-RU" w:bidi="ar-SA"/>
                </w:rPr>
                <w:t>https://www.kamgov.ru/minzkh/current_activities/test/otbor_na_predstovlenie_subsidii</w:t>
              </w:r>
            </w:hyperlink>
            <w:r>
              <w:rPr>
                <w:kern w:val="0"/>
                <w:szCs w:val="28"/>
                <w:lang w:val="ru-RU" w:bidi="ar-SA"/>
              </w:rPr>
              <w:t>)</w:t>
            </w:r>
          </w:p>
          <w:p>
            <w:pPr>
              <w:pStyle w:val="Normal"/>
              <w:widowControl w:val="false"/>
              <w:suppressAutoHyphens w:val="true"/>
              <w:spacing w:before="0" w:after="0"/>
              <w:ind w:hanging="0"/>
              <w:jc w:val="both"/>
              <w:rPr>
                <w:szCs w:val="28"/>
              </w:rPr>
            </w:pPr>
            <w:r>
              <w:rPr>
                <w:szCs w:val="28"/>
              </w:rPr>
            </w:r>
          </w:p>
        </w:tc>
      </w:tr>
      <w:tr>
        <w:trPr/>
        <w:tc>
          <w:tcPr>
            <w:tcW w:w="703" w:type="dxa"/>
            <w:tcBorders/>
          </w:tcPr>
          <w:p>
            <w:pPr>
              <w:pStyle w:val="Normal"/>
              <w:widowControl w:val="false"/>
              <w:tabs>
                <w:tab w:val="clear" w:pos="708"/>
                <w:tab w:val="left" w:pos="851" w:leader="none"/>
              </w:tabs>
              <w:suppressAutoHyphens w:val="true"/>
              <w:spacing w:before="0" w:after="0"/>
              <w:jc w:val="both"/>
              <w:rPr>
                <w:szCs w:val="28"/>
              </w:rPr>
            </w:pPr>
            <w:r>
              <w:rPr>
                <w:kern w:val="0"/>
                <w:szCs w:val="28"/>
                <w:lang w:val="ru-RU" w:bidi="ar-SA"/>
              </w:rPr>
              <w:t>6.</w:t>
            </w:r>
          </w:p>
        </w:tc>
        <w:tc>
          <w:tcPr>
            <w:tcW w:w="2414" w:type="dxa"/>
            <w:tcBorders/>
          </w:tcPr>
          <w:p>
            <w:pPr>
              <w:pStyle w:val="Normal"/>
              <w:widowControl w:val="false"/>
              <w:tabs>
                <w:tab w:val="clear" w:pos="708"/>
                <w:tab w:val="left" w:pos="851" w:leader="none"/>
              </w:tabs>
              <w:suppressAutoHyphens w:val="true"/>
              <w:spacing w:before="0" w:after="0"/>
              <w:jc w:val="left"/>
              <w:rPr>
                <w:szCs w:val="28"/>
              </w:rPr>
            </w:pPr>
            <w:r>
              <w:rPr>
                <w:kern w:val="0"/>
                <w:szCs w:val="28"/>
                <w:lang w:val="ru-RU" w:bidi="ar-SA"/>
              </w:rPr>
              <w:t xml:space="preserve">Категория и требования, которым должны соответствовать участники отбора </w:t>
            </w:r>
          </w:p>
        </w:tc>
        <w:tc>
          <w:tcPr>
            <w:tcW w:w="6515" w:type="dxa"/>
            <w:tcBorders/>
          </w:tcPr>
          <w:p>
            <w:pPr>
              <w:pStyle w:val="Normal"/>
              <w:widowControl w:val="false"/>
              <w:suppressAutoHyphens w:val="true"/>
              <w:spacing w:before="0" w:after="0"/>
              <w:ind w:firstLine="601"/>
              <w:jc w:val="both"/>
              <w:rPr>
                <w:rFonts w:eastAsia="Calibri"/>
                <w:szCs w:val="28"/>
                <w:lang w:eastAsia="en-US"/>
              </w:rPr>
            </w:pPr>
            <w:r>
              <w:rPr>
                <w:rFonts w:eastAsia="Calibri" w:eastAsiaTheme="minorHAnsi"/>
                <w:kern w:val="0"/>
                <w:szCs w:val="28"/>
                <w:lang w:val="ru-RU" w:eastAsia="en-US" w:bidi="ar-SA"/>
              </w:rPr>
              <w:t>К категории получателей субсидии относятся следующие исполнители коммунальных услуг:</w:t>
            </w:r>
          </w:p>
          <w:p>
            <w:pPr>
              <w:pStyle w:val="Normal"/>
              <w:widowControl w:val="false"/>
              <w:suppressAutoHyphens w:val="true"/>
              <w:spacing w:before="0" w:after="0"/>
              <w:ind w:firstLine="601"/>
              <w:jc w:val="both"/>
              <w:rPr>
                <w:rFonts w:eastAsia="Calibri"/>
                <w:szCs w:val="28"/>
                <w:lang w:eastAsia="en-US"/>
              </w:rPr>
            </w:pPr>
            <w:r>
              <w:rPr>
                <w:rFonts w:eastAsia="Calibri" w:eastAsiaTheme="minorHAnsi"/>
                <w:kern w:val="0"/>
                <w:szCs w:val="28"/>
                <w:lang w:val="ru-RU" w:eastAsia="en-US" w:bidi="ar-SA"/>
              </w:rPr>
              <w:t>1) управляющие организации, товарищества собственников недвижимости, в том числе товарищества собственников жилья, жилищные кооперативы, иные специализированные потребительские кооперативы, поставляющие услуги по отоплению гражданам, являющимся собственниками и нанимателями помещений в многоквартирном доме и индивидуальном жилищном фонде;</w:t>
            </w:r>
          </w:p>
          <w:p>
            <w:pPr>
              <w:pStyle w:val="Normal"/>
              <w:widowControl w:val="false"/>
              <w:suppressAutoHyphens w:val="true"/>
              <w:spacing w:before="0" w:after="0"/>
              <w:ind w:firstLine="601"/>
              <w:jc w:val="both"/>
              <w:rPr>
                <w:rFonts w:eastAsia="Calibri"/>
                <w:szCs w:val="28"/>
                <w:lang w:eastAsia="en-US"/>
              </w:rPr>
            </w:pPr>
            <w:bookmarkStart w:id="0" w:name="Par2"/>
            <w:bookmarkEnd w:id="0"/>
            <w:r>
              <w:rPr>
                <w:rFonts w:eastAsia="Calibri" w:eastAsiaTheme="minorHAnsi"/>
                <w:kern w:val="0"/>
                <w:szCs w:val="28"/>
                <w:lang w:val="ru-RU" w:eastAsia="en-US" w:bidi="ar-SA"/>
              </w:rPr>
              <w:t>2) ресурсоснабжающие организации, поставляющие тепловую энергию для предоставления услуг по отоплению гражданам.</w:t>
            </w:r>
          </w:p>
          <w:p>
            <w:pPr>
              <w:pStyle w:val="Normal"/>
              <w:widowControl w:val="false"/>
              <w:suppressAutoHyphens w:val="true"/>
              <w:spacing w:before="0" w:after="0"/>
              <w:ind w:firstLine="601"/>
              <w:jc w:val="both"/>
              <w:rPr>
                <w:rFonts w:eastAsia="Calibri"/>
                <w:szCs w:val="28"/>
                <w:lang w:eastAsia="en-US"/>
              </w:rPr>
            </w:pPr>
            <w:r>
              <w:rPr>
                <w:rFonts w:eastAsia="Calibri" w:eastAsiaTheme="minorHAnsi"/>
                <w:kern w:val="0"/>
                <w:szCs w:val="28"/>
                <w:lang w:val="ru-RU" w:eastAsia="en-US" w:bidi="ar-SA"/>
              </w:rPr>
              <w:t>Требования, предъявляемые к участникам отбора:</w:t>
            </w:r>
          </w:p>
          <w:p>
            <w:pPr>
              <w:pStyle w:val="Normal"/>
              <w:widowControl w:val="false"/>
              <w:suppressAutoHyphens w:val="true"/>
              <w:spacing w:before="0" w:after="0"/>
              <w:ind w:firstLine="601"/>
              <w:jc w:val="both"/>
              <w:rPr>
                <w:rFonts w:eastAsia="Calibri"/>
                <w:szCs w:val="28"/>
                <w:lang w:eastAsia="en-US"/>
              </w:rPr>
            </w:pPr>
            <w:r>
              <w:rPr>
                <w:rFonts w:eastAsia="Calibri" w:eastAsiaTheme="minorHAnsi"/>
                <w:kern w:val="0"/>
                <w:szCs w:val="28"/>
                <w:lang w:val="ru-RU" w:eastAsia="en-US" w:bidi="ar-SA"/>
              </w:rPr>
              <w:t>1) соответствие участника отбора на первое число месяца, в котором он подал в Министерство заявку, следующим требованиям:</w:t>
            </w:r>
          </w:p>
          <w:p>
            <w:pPr>
              <w:pStyle w:val="Normal"/>
              <w:widowControl w:val="false"/>
              <w:suppressAutoHyphens w:val="true"/>
              <w:spacing w:before="0" w:after="0"/>
              <w:ind w:firstLine="601"/>
              <w:jc w:val="both"/>
              <w:rPr>
                <w:rFonts w:eastAsia="Calibri"/>
                <w:szCs w:val="28"/>
                <w:lang w:eastAsia="en-US"/>
              </w:rPr>
            </w:pPr>
            <w:r>
              <w:rPr>
                <w:rFonts w:eastAsia="Calibri" w:eastAsiaTheme="minorHAnsi"/>
                <w:kern w:val="0"/>
                <w:szCs w:val="28"/>
                <w:lang w:val="ru-RU" w:eastAsia="en-US" w:bidi="ar-SA"/>
              </w:rPr>
              <w:t>а) 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Normal"/>
              <w:widowControl w:val="false"/>
              <w:suppressAutoHyphens w:val="true"/>
              <w:spacing w:before="0" w:after="0"/>
              <w:ind w:firstLine="601"/>
              <w:jc w:val="both"/>
              <w:rPr>
                <w:rFonts w:eastAsia="Calibri"/>
                <w:szCs w:val="28"/>
                <w:lang w:eastAsia="en-US"/>
              </w:rPr>
            </w:pPr>
            <w:r>
              <w:rPr>
                <w:rFonts w:eastAsia="Calibri" w:eastAsiaTheme="minorHAnsi"/>
                <w:kern w:val="0"/>
                <w:szCs w:val="28"/>
                <w:lang w:val="ru-RU" w:eastAsia="en-US" w:bidi="ar-SA"/>
              </w:rPr>
              <w:t>б) участник отбора не получает средства из краевого бюджета на основании иных нормативных правовых актов Камчатского края на цели, предусмотренные настоящим Порядком;</w:t>
            </w:r>
          </w:p>
          <w:p>
            <w:pPr>
              <w:pStyle w:val="Normal"/>
              <w:widowControl w:val="false"/>
              <w:suppressAutoHyphens w:val="true"/>
              <w:spacing w:before="0" w:after="0"/>
              <w:ind w:firstLine="601"/>
              <w:jc w:val="both"/>
              <w:rPr>
                <w:rFonts w:eastAsia="Calibri"/>
                <w:szCs w:val="28"/>
                <w:lang w:eastAsia="en-US"/>
              </w:rPr>
            </w:pPr>
            <w:r>
              <w:rPr>
                <w:rFonts w:eastAsia="Calibri" w:eastAsiaTheme="minorHAnsi"/>
                <w:kern w:val="0"/>
                <w:szCs w:val="28"/>
                <w:lang w:val="ru-RU" w:eastAsia="en-US" w:bidi="ar-SA"/>
              </w:rPr>
              <w:t>в) участник отбора не находится в процессе реорганизации (за исключением реорганизации в форме присоединения к нему другого юридического лица),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pPr>
              <w:pStyle w:val="Normal"/>
              <w:widowControl w:val="false"/>
              <w:suppressAutoHyphens w:val="true"/>
              <w:spacing w:before="0" w:after="0"/>
              <w:ind w:firstLine="601"/>
              <w:jc w:val="both"/>
              <w:rPr>
                <w:rFonts w:eastAsia="Calibri"/>
                <w:szCs w:val="28"/>
                <w:lang w:eastAsia="en-US"/>
              </w:rPr>
            </w:pPr>
            <w:r>
              <w:rPr>
                <w:rFonts w:eastAsia="Calibri" w:eastAsiaTheme="minorHAnsi"/>
                <w:kern w:val="0"/>
                <w:szCs w:val="28"/>
                <w:lang w:val="ru-RU" w:eastAsia="en-US" w:bidi="ar-SA"/>
              </w:rPr>
              <w:t>г)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главном бухгалтере участника отбора;</w:t>
            </w:r>
          </w:p>
          <w:p>
            <w:pPr>
              <w:pStyle w:val="Normal"/>
              <w:widowControl w:val="false"/>
              <w:suppressAutoHyphens w:val="true"/>
              <w:spacing w:before="0" w:after="0"/>
              <w:ind w:firstLine="601"/>
              <w:jc w:val="both"/>
              <w:rPr>
                <w:szCs w:val="28"/>
              </w:rPr>
            </w:pPr>
            <w:r>
              <w:rPr>
                <w:rFonts w:eastAsia="Calibri" w:eastAsiaTheme="minorHAnsi"/>
                <w:kern w:val="0"/>
                <w:szCs w:val="28"/>
                <w:lang w:val="ru-RU" w:eastAsia="en-US" w:bidi="ar-SA"/>
              </w:rPr>
              <w:t xml:space="preserve">2) установление для участника отбора, указанного в </w:t>
            </w:r>
            <w:hyperlink w:anchor="Par2">
              <w:r>
                <w:rPr>
                  <w:rFonts w:eastAsia="Calibri" w:eastAsiaTheme="minorHAnsi"/>
                  <w:kern w:val="0"/>
                  <w:szCs w:val="28"/>
                  <w:lang w:val="ru-RU" w:eastAsia="en-US" w:bidi="ar-SA"/>
                </w:rPr>
                <w:t>пункте 2 части 7</w:t>
              </w:r>
            </w:hyperlink>
            <w:r>
              <w:rPr>
                <w:rFonts w:eastAsia="Calibri" w:eastAsiaTheme="minorHAnsi"/>
                <w:kern w:val="0"/>
                <w:szCs w:val="28"/>
                <w:lang w:val="ru-RU" w:eastAsia="en-US" w:bidi="ar-SA"/>
              </w:rPr>
              <w:t xml:space="preserve"> Порядка, на текущий год цен (тарифов) на услуги теплоснабжения Региональной службой по тарифам и ценам Камчатского края.</w:t>
            </w:r>
          </w:p>
          <w:p>
            <w:pPr>
              <w:pStyle w:val="Normal"/>
              <w:widowControl w:val="false"/>
              <w:suppressAutoHyphens w:val="true"/>
              <w:spacing w:before="0" w:after="0"/>
              <w:ind w:firstLine="601"/>
              <w:jc w:val="both"/>
              <w:rPr>
                <w:szCs w:val="28"/>
              </w:rPr>
            </w:pPr>
            <w:r>
              <w:rPr>
                <w:szCs w:val="28"/>
              </w:rPr>
            </w:r>
          </w:p>
        </w:tc>
      </w:tr>
      <w:tr>
        <w:trPr/>
        <w:tc>
          <w:tcPr>
            <w:tcW w:w="703" w:type="dxa"/>
            <w:tcBorders/>
          </w:tcPr>
          <w:p>
            <w:pPr>
              <w:pStyle w:val="Normal"/>
              <w:widowControl w:val="false"/>
              <w:tabs>
                <w:tab w:val="clear" w:pos="708"/>
                <w:tab w:val="left" w:pos="851" w:leader="none"/>
              </w:tabs>
              <w:suppressAutoHyphens w:val="true"/>
              <w:spacing w:before="0" w:after="0"/>
              <w:jc w:val="both"/>
              <w:rPr>
                <w:szCs w:val="28"/>
              </w:rPr>
            </w:pPr>
            <w:r>
              <w:rPr>
                <w:kern w:val="0"/>
                <w:szCs w:val="28"/>
                <w:lang w:val="ru-RU" w:bidi="ar-SA"/>
              </w:rPr>
              <w:t>7.</w:t>
            </w:r>
          </w:p>
        </w:tc>
        <w:tc>
          <w:tcPr>
            <w:tcW w:w="2414" w:type="dxa"/>
            <w:tcBorders/>
          </w:tcPr>
          <w:p>
            <w:pPr>
              <w:pStyle w:val="Normal"/>
              <w:widowControl w:val="false"/>
              <w:tabs>
                <w:tab w:val="clear" w:pos="708"/>
                <w:tab w:val="left" w:pos="851" w:leader="none"/>
              </w:tabs>
              <w:suppressAutoHyphens w:val="true"/>
              <w:spacing w:before="0" w:after="0"/>
              <w:jc w:val="left"/>
              <w:rPr>
                <w:szCs w:val="28"/>
              </w:rPr>
            </w:pPr>
            <w:r>
              <w:rPr>
                <w:kern w:val="0"/>
                <w:szCs w:val="28"/>
                <w:lang w:val="ru-RU" w:bidi="ar-SA"/>
              </w:rPr>
              <w:t xml:space="preserve">Документы, которые необходимо предоставить для участия в отборе </w:t>
            </w:r>
          </w:p>
        </w:tc>
        <w:tc>
          <w:tcPr>
            <w:tcW w:w="6515" w:type="dxa"/>
            <w:tcBorders/>
          </w:tcPr>
          <w:p>
            <w:pPr>
              <w:pStyle w:val="ConsPlusNormal1"/>
              <w:widowControl w:val="false"/>
              <w:suppressAutoHyphens w:val="true"/>
              <w:spacing w:before="0" w:after="0"/>
              <w:ind w:firstLine="601"/>
              <w:jc w:val="both"/>
              <w:rPr>
                <w:rFonts w:ascii="Times New Roman" w:hAnsi="Times New Roman" w:cs="Times New Roman"/>
                <w:sz w:val="28"/>
                <w:szCs w:val="28"/>
              </w:rPr>
            </w:pPr>
            <w:r>
              <w:rPr>
                <w:rFonts w:cs="Times New Roman" w:ascii="Times New Roman" w:hAnsi="Times New Roman"/>
                <w:kern w:val="0"/>
                <w:sz w:val="28"/>
                <w:szCs w:val="28"/>
                <w:lang w:val="ru-RU" w:bidi="ar-SA"/>
              </w:rPr>
              <w:t>Заявка оформляется по форме, утвержденной Министерством (приказ Министерства от 27.01.2022 № 20-13), и должна содержать:</w:t>
            </w:r>
          </w:p>
          <w:p>
            <w:pPr>
              <w:pStyle w:val="Normal"/>
              <w:widowControl w:val="false"/>
              <w:suppressAutoHyphens w:val="true"/>
              <w:spacing w:before="0" w:after="0"/>
              <w:ind w:firstLine="540"/>
              <w:jc w:val="both"/>
              <w:rPr>
                <w:rFonts w:eastAsia="Calibri"/>
                <w:szCs w:val="28"/>
                <w:lang w:eastAsia="en-US"/>
              </w:rPr>
            </w:pPr>
            <w:r>
              <w:rPr>
                <w:rFonts w:eastAsia="Calibri" w:eastAsiaTheme="minorHAnsi"/>
                <w:kern w:val="0"/>
                <w:szCs w:val="28"/>
                <w:lang w:val="ru-RU" w:eastAsia="en-US" w:bidi="ar-SA"/>
              </w:rPr>
              <w:t>1) следующие сведения об участнике отбора, подавшем заявку:</w:t>
            </w:r>
          </w:p>
          <w:p>
            <w:pPr>
              <w:pStyle w:val="Normal"/>
              <w:widowControl w:val="false"/>
              <w:suppressAutoHyphens w:val="true"/>
              <w:spacing w:before="0" w:after="0"/>
              <w:ind w:firstLine="540"/>
              <w:jc w:val="both"/>
              <w:rPr>
                <w:rFonts w:eastAsia="Calibri"/>
                <w:szCs w:val="28"/>
                <w:lang w:eastAsia="en-US"/>
              </w:rPr>
            </w:pPr>
            <w:r>
              <w:rPr>
                <w:rFonts w:eastAsia="Calibri" w:eastAsiaTheme="minorHAnsi"/>
                <w:kern w:val="0"/>
                <w:szCs w:val="28"/>
                <w:lang w:val="ru-RU" w:eastAsia="en-US" w:bidi="ar-SA"/>
              </w:rPr>
              <w:t>а) полное наименование, сведения об организационно-правовой форме, о месте нахождения, об адресе места нахождения, адресе электронной почты,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отбора;</w:t>
            </w:r>
          </w:p>
          <w:p>
            <w:pPr>
              <w:pStyle w:val="Normal"/>
              <w:widowControl w:val="false"/>
              <w:suppressAutoHyphens w:val="true"/>
              <w:spacing w:before="0" w:after="0"/>
              <w:ind w:firstLine="540"/>
              <w:jc w:val="both"/>
              <w:rPr>
                <w:rFonts w:eastAsia="Calibri"/>
                <w:szCs w:val="28"/>
                <w:lang w:eastAsia="en-US"/>
              </w:rPr>
            </w:pPr>
            <w:r>
              <w:rPr>
                <w:rFonts w:eastAsia="Calibri" w:eastAsiaTheme="minorHAnsi"/>
                <w:kern w:val="0"/>
                <w:szCs w:val="28"/>
                <w:lang w:val="ru-RU" w:eastAsia="en-US" w:bidi="ar-SA"/>
              </w:rPr>
              <w:t>б) согласие на размещение информации на едином портале и официальном сайте об участнике отбора, о подаваемой участником отбора заявке, о размере предоставляемой участнику отбора субсидии по результатам отбора, иной информации об участнике отбора, связанной с соответствующим отбором;</w:t>
            </w:r>
          </w:p>
          <w:p>
            <w:pPr>
              <w:pStyle w:val="Normal"/>
              <w:widowControl w:val="false"/>
              <w:suppressAutoHyphens w:val="true"/>
              <w:spacing w:before="0" w:after="0"/>
              <w:ind w:firstLine="540"/>
              <w:jc w:val="both"/>
              <w:rPr>
                <w:rFonts w:eastAsia="Calibri"/>
                <w:szCs w:val="28"/>
                <w:lang w:eastAsia="en-US"/>
              </w:rPr>
            </w:pPr>
            <w:r>
              <w:rPr>
                <w:rFonts w:eastAsia="Calibri" w:eastAsiaTheme="minorHAnsi"/>
                <w:kern w:val="0"/>
                <w:szCs w:val="28"/>
                <w:lang w:val="ru-RU" w:eastAsia="en-US" w:bidi="ar-SA"/>
              </w:rPr>
              <w:t>2) следующие документы:</w:t>
            </w:r>
          </w:p>
          <w:p>
            <w:pPr>
              <w:pStyle w:val="Normal"/>
              <w:widowControl w:val="false"/>
              <w:suppressAutoHyphens w:val="true"/>
              <w:spacing w:before="0" w:after="0"/>
              <w:ind w:firstLine="540"/>
              <w:jc w:val="both"/>
              <w:rPr>
                <w:rFonts w:eastAsia="Calibri"/>
                <w:szCs w:val="28"/>
                <w:lang w:eastAsia="en-US"/>
              </w:rPr>
            </w:pPr>
            <w:r>
              <w:rPr>
                <w:rFonts w:eastAsia="Calibri" w:eastAsiaTheme="minorHAnsi"/>
                <w:kern w:val="0"/>
                <w:szCs w:val="28"/>
                <w:lang w:val="ru-RU" w:eastAsia="en-US" w:bidi="ar-SA"/>
              </w:rPr>
              <w:t>а) документ, подтверждающий полномочия лица на осуществление действий от имени участника отбора (в случае, если заявление подписано лицом, не имеющим права действовать без доверенности от имени участника отбора);</w:t>
            </w:r>
          </w:p>
          <w:p>
            <w:pPr>
              <w:pStyle w:val="Normal"/>
              <w:widowControl w:val="false"/>
              <w:suppressAutoHyphens w:val="true"/>
              <w:spacing w:before="0" w:after="0"/>
              <w:ind w:firstLine="540"/>
              <w:jc w:val="both"/>
              <w:rPr>
                <w:rFonts w:eastAsia="Calibri"/>
                <w:szCs w:val="28"/>
                <w:lang w:eastAsia="en-US"/>
              </w:rPr>
            </w:pPr>
            <w:r>
              <w:rPr>
                <w:rFonts w:eastAsia="Calibri" w:eastAsiaTheme="minorHAnsi"/>
                <w:kern w:val="0"/>
                <w:szCs w:val="28"/>
                <w:lang w:val="ru-RU" w:eastAsia="en-US" w:bidi="ar-SA"/>
              </w:rPr>
              <w:t xml:space="preserve">б) справку, подписанную руководителем участника отбора, подтверждающую, что участник отбора соответствует условиям, установленным </w:t>
            </w:r>
            <w:hyperlink r:id="rId4">
              <w:r>
                <w:rPr>
                  <w:rFonts w:eastAsia="Calibri" w:eastAsiaTheme="minorHAnsi"/>
                  <w:kern w:val="0"/>
                  <w:szCs w:val="28"/>
                  <w:lang w:val="ru-RU" w:eastAsia="en-US" w:bidi="ar-SA"/>
                </w:rPr>
                <w:t>пунктом 1 части 8</w:t>
              </w:r>
            </w:hyperlink>
            <w:r>
              <w:rPr>
                <w:rFonts w:eastAsia="Calibri" w:eastAsiaTheme="minorHAnsi"/>
                <w:kern w:val="0"/>
                <w:szCs w:val="28"/>
                <w:lang w:val="ru-RU" w:eastAsia="en-US" w:bidi="ar-SA"/>
              </w:rPr>
              <w:t xml:space="preserve"> Порядка;</w:t>
            </w:r>
          </w:p>
          <w:p>
            <w:pPr>
              <w:pStyle w:val="Normal"/>
              <w:widowControl w:val="false"/>
              <w:suppressAutoHyphens w:val="true"/>
              <w:spacing w:before="0" w:after="0"/>
              <w:ind w:firstLine="540"/>
              <w:jc w:val="both"/>
              <w:rPr>
                <w:szCs w:val="28"/>
              </w:rPr>
            </w:pPr>
            <w:r>
              <w:rPr>
                <w:rFonts w:eastAsia="Calibri" w:eastAsiaTheme="minorHAnsi"/>
                <w:kern w:val="0"/>
                <w:szCs w:val="28"/>
                <w:lang w:val="ru-RU" w:eastAsia="en-US" w:bidi="ar-SA"/>
              </w:rPr>
              <w:t xml:space="preserve">в) справку-расчет, подписанную руководителем участника отбора (или замещающим его лицом), содержащую обоснование заявленной суммы субсидии, </w:t>
            </w:r>
            <w:r>
              <w:rPr>
                <w:rFonts w:eastAsia="Calibri" w:cs="Times New Roman" w:eastAsiaTheme="minorHAnsi"/>
                <w:kern w:val="0"/>
                <w:sz w:val="28"/>
                <w:szCs w:val="28"/>
                <w:lang w:val="ru-RU" w:eastAsia="en-US" w:bidi="ar-SA"/>
              </w:rPr>
              <w:t>по форме, утвержденной Министерством (приказ Министерства от 10.01.2023 № 20-4)</w:t>
            </w:r>
            <w:r>
              <w:rPr>
                <w:kern w:val="0"/>
                <w:szCs w:val="28"/>
                <w:lang w:val="ru-RU" w:bidi="ar-SA"/>
              </w:rPr>
              <w:t xml:space="preserve"> </w:t>
            </w:r>
          </w:p>
          <w:p>
            <w:pPr>
              <w:pStyle w:val="Normal"/>
              <w:widowControl w:val="false"/>
              <w:suppressAutoHyphens w:val="true"/>
              <w:spacing w:before="0" w:after="0"/>
              <w:ind w:firstLine="540"/>
              <w:jc w:val="both"/>
              <w:rPr>
                <w:szCs w:val="28"/>
              </w:rPr>
            </w:pPr>
            <w:r>
              <w:rPr>
                <w:szCs w:val="28"/>
              </w:rPr>
            </w:r>
          </w:p>
        </w:tc>
      </w:tr>
      <w:tr>
        <w:trPr/>
        <w:tc>
          <w:tcPr>
            <w:tcW w:w="703" w:type="dxa"/>
            <w:tcBorders/>
          </w:tcPr>
          <w:p>
            <w:pPr>
              <w:pStyle w:val="Normal"/>
              <w:widowControl w:val="false"/>
              <w:tabs>
                <w:tab w:val="clear" w:pos="708"/>
                <w:tab w:val="left" w:pos="851" w:leader="none"/>
              </w:tabs>
              <w:suppressAutoHyphens w:val="true"/>
              <w:spacing w:before="0" w:after="0"/>
              <w:jc w:val="both"/>
              <w:rPr>
                <w:szCs w:val="28"/>
              </w:rPr>
            </w:pPr>
            <w:r>
              <w:rPr>
                <w:kern w:val="0"/>
                <w:szCs w:val="28"/>
                <w:lang w:val="ru-RU" w:bidi="ar-SA"/>
              </w:rPr>
              <w:t>8.</w:t>
            </w:r>
          </w:p>
        </w:tc>
        <w:tc>
          <w:tcPr>
            <w:tcW w:w="2414" w:type="dxa"/>
            <w:tcBorders/>
          </w:tcPr>
          <w:p>
            <w:pPr>
              <w:pStyle w:val="Normal"/>
              <w:widowControl w:val="false"/>
              <w:tabs>
                <w:tab w:val="clear" w:pos="708"/>
                <w:tab w:val="left" w:pos="851" w:leader="none"/>
              </w:tabs>
              <w:suppressAutoHyphens w:val="true"/>
              <w:spacing w:before="0" w:after="0"/>
              <w:jc w:val="left"/>
              <w:rPr>
                <w:szCs w:val="28"/>
              </w:rPr>
            </w:pPr>
            <w:r>
              <w:rPr>
                <w:kern w:val="0"/>
                <w:szCs w:val="28"/>
                <w:lang w:val="ru-RU" w:bidi="ar-SA"/>
              </w:rPr>
              <w:t>Заявка на участие в отборе предоставляется в порядке и по форме, установленной Министерством</w:t>
            </w:r>
          </w:p>
        </w:tc>
        <w:tc>
          <w:tcPr>
            <w:tcW w:w="6515" w:type="dxa"/>
            <w:tcBorders/>
          </w:tcPr>
          <w:p>
            <w:pPr>
              <w:pStyle w:val="Normal"/>
              <w:widowControl w:val="false"/>
              <w:tabs>
                <w:tab w:val="clear" w:pos="708"/>
                <w:tab w:val="left" w:pos="851" w:leader="none"/>
              </w:tabs>
              <w:suppressAutoHyphens w:val="true"/>
              <w:spacing w:before="0" w:after="0"/>
              <w:ind w:firstLine="601"/>
              <w:jc w:val="both"/>
              <w:rPr>
                <w:szCs w:val="28"/>
              </w:rPr>
            </w:pPr>
            <w:r>
              <w:rPr>
                <w:kern w:val="0"/>
                <w:szCs w:val="28"/>
                <w:lang w:val="ru-RU" w:bidi="ar-SA"/>
              </w:rPr>
              <w:t xml:space="preserve">Заявка должна соответствовать форме, утвержденной приказом Министерства от 27.01.2022 № 20-13 (ссылка  </w:t>
            </w:r>
          </w:p>
          <w:p>
            <w:pPr>
              <w:pStyle w:val="Normal"/>
              <w:widowControl w:val="false"/>
              <w:tabs>
                <w:tab w:val="clear" w:pos="708"/>
                <w:tab w:val="left" w:pos="851" w:leader="none"/>
              </w:tabs>
              <w:suppressAutoHyphens w:val="true"/>
              <w:spacing w:before="0" w:after="0"/>
              <w:ind w:hanging="0"/>
              <w:jc w:val="both"/>
              <w:rPr>
                <w:szCs w:val="28"/>
              </w:rPr>
            </w:pPr>
            <w:hyperlink r:id="rId5">
              <w:r>
                <w:rPr>
                  <w:rStyle w:val="Style15"/>
                  <w:kern w:val="0"/>
                  <w:szCs w:val="28"/>
                  <w:lang w:val="ru-RU" w:bidi="ar-SA"/>
                </w:rPr>
                <w:t>https://minzkh.kamgov.ru/current_activities/test/otbor_na_predstovlenie_subsidii/normativnye-dokumenty</w:t>
              </w:r>
            </w:hyperlink>
            <w:r>
              <w:rPr>
                <w:kern w:val="0"/>
                <w:szCs w:val="28"/>
                <w:lang w:val="ru-RU" w:bidi="ar-SA"/>
              </w:rPr>
              <w:t xml:space="preserve">) </w:t>
            </w:r>
          </w:p>
          <w:p>
            <w:pPr>
              <w:pStyle w:val="Normal"/>
              <w:widowControl w:val="false"/>
              <w:tabs>
                <w:tab w:val="clear" w:pos="708"/>
                <w:tab w:val="left" w:pos="851" w:leader="none"/>
              </w:tabs>
              <w:suppressAutoHyphens w:val="true"/>
              <w:spacing w:before="0" w:after="0"/>
              <w:ind w:hanging="0"/>
              <w:jc w:val="both"/>
              <w:rPr>
                <w:szCs w:val="28"/>
              </w:rPr>
            </w:pPr>
            <w:r>
              <w:rPr>
                <w:szCs w:val="28"/>
              </w:rPr>
            </w:r>
          </w:p>
        </w:tc>
      </w:tr>
      <w:tr>
        <w:trPr/>
        <w:tc>
          <w:tcPr>
            <w:tcW w:w="703" w:type="dxa"/>
            <w:tcBorders/>
          </w:tcPr>
          <w:p>
            <w:pPr>
              <w:pStyle w:val="Normal"/>
              <w:widowControl w:val="false"/>
              <w:tabs>
                <w:tab w:val="clear" w:pos="708"/>
                <w:tab w:val="left" w:pos="851" w:leader="none"/>
              </w:tabs>
              <w:suppressAutoHyphens w:val="true"/>
              <w:spacing w:before="0" w:after="0"/>
              <w:jc w:val="both"/>
              <w:rPr>
                <w:szCs w:val="28"/>
              </w:rPr>
            </w:pPr>
            <w:r>
              <w:rPr>
                <w:kern w:val="0"/>
                <w:szCs w:val="28"/>
                <w:lang w:val="ru-RU" w:bidi="ar-SA"/>
              </w:rPr>
              <w:t>9.</w:t>
            </w:r>
          </w:p>
        </w:tc>
        <w:tc>
          <w:tcPr>
            <w:tcW w:w="2414" w:type="dxa"/>
            <w:tcBorders/>
          </w:tcPr>
          <w:p>
            <w:pPr>
              <w:pStyle w:val="Normal"/>
              <w:widowControl w:val="false"/>
              <w:tabs>
                <w:tab w:val="clear" w:pos="708"/>
                <w:tab w:val="left" w:pos="851" w:leader="none"/>
              </w:tabs>
              <w:suppressAutoHyphens w:val="true"/>
              <w:spacing w:before="0" w:after="0"/>
              <w:jc w:val="left"/>
              <w:rPr>
                <w:szCs w:val="28"/>
              </w:rPr>
            </w:pPr>
            <w:r>
              <w:rPr>
                <w:kern w:val="0"/>
                <w:szCs w:val="28"/>
                <w:lang w:val="ru-RU" w:bidi="ar-SA"/>
              </w:rPr>
              <w:t xml:space="preserve">Порядок отзыва заявки участником отбора </w:t>
            </w:r>
          </w:p>
        </w:tc>
        <w:tc>
          <w:tcPr>
            <w:tcW w:w="6515" w:type="dxa"/>
            <w:tcBorders/>
          </w:tcPr>
          <w:p>
            <w:pPr>
              <w:pStyle w:val="Normal"/>
              <w:widowControl w:val="false"/>
              <w:suppressAutoHyphens w:val="true"/>
              <w:spacing w:before="0" w:after="0"/>
              <w:ind w:firstLine="601"/>
              <w:jc w:val="both"/>
              <w:rPr>
                <w:rFonts w:eastAsia="Calibri"/>
                <w:szCs w:val="28"/>
                <w:lang w:eastAsia="en-US"/>
              </w:rPr>
            </w:pPr>
            <w:r>
              <w:rPr>
                <w:rFonts w:eastAsia="Calibri" w:eastAsiaTheme="minorHAnsi"/>
                <w:kern w:val="0"/>
                <w:szCs w:val="28"/>
                <w:lang w:val="ru-RU" w:eastAsia="en-US" w:bidi="ar-SA"/>
              </w:rPr>
              <w:t>Заявка может быть отозвана в срок не позднее 2 рабочих дней до окончания срока приема заявок. Отзыв заявки осуществляется путем направления в Министерство уведомления об отзыве заявки.</w:t>
            </w:r>
          </w:p>
          <w:p>
            <w:pPr>
              <w:pStyle w:val="Normal"/>
              <w:widowControl w:val="false"/>
              <w:suppressAutoHyphens w:val="true"/>
              <w:spacing w:before="0" w:after="0"/>
              <w:ind w:firstLine="601"/>
              <w:jc w:val="both"/>
              <w:rPr>
                <w:rFonts w:eastAsia="Calibri"/>
                <w:szCs w:val="28"/>
                <w:lang w:eastAsia="en-US"/>
              </w:rPr>
            </w:pPr>
            <w:r>
              <w:rPr>
                <w:rFonts w:eastAsia="Calibri"/>
                <w:szCs w:val="28"/>
                <w:lang w:eastAsia="en-US"/>
              </w:rPr>
            </w:r>
          </w:p>
        </w:tc>
      </w:tr>
      <w:tr>
        <w:trPr/>
        <w:tc>
          <w:tcPr>
            <w:tcW w:w="703" w:type="dxa"/>
            <w:tcBorders/>
          </w:tcPr>
          <w:p>
            <w:pPr>
              <w:pStyle w:val="Normal"/>
              <w:widowControl w:val="false"/>
              <w:tabs>
                <w:tab w:val="clear" w:pos="708"/>
                <w:tab w:val="left" w:pos="851" w:leader="none"/>
              </w:tabs>
              <w:suppressAutoHyphens w:val="true"/>
              <w:spacing w:before="0" w:after="0"/>
              <w:jc w:val="both"/>
              <w:rPr>
                <w:szCs w:val="28"/>
              </w:rPr>
            </w:pPr>
            <w:r>
              <w:rPr>
                <w:kern w:val="0"/>
                <w:szCs w:val="28"/>
                <w:lang w:val="ru-RU" w:bidi="ar-SA"/>
              </w:rPr>
              <w:t>10.</w:t>
            </w:r>
          </w:p>
        </w:tc>
        <w:tc>
          <w:tcPr>
            <w:tcW w:w="2414" w:type="dxa"/>
            <w:tcBorders/>
          </w:tcPr>
          <w:p>
            <w:pPr>
              <w:pStyle w:val="Normal"/>
              <w:widowControl w:val="false"/>
              <w:tabs>
                <w:tab w:val="clear" w:pos="708"/>
                <w:tab w:val="left" w:pos="851" w:leader="none"/>
              </w:tabs>
              <w:suppressAutoHyphens w:val="true"/>
              <w:spacing w:before="0" w:after="0"/>
              <w:jc w:val="left"/>
              <w:rPr>
                <w:szCs w:val="28"/>
              </w:rPr>
            </w:pPr>
            <w:r>
              <w:rPr>
                <w:kern w:val="0"/>
                <w:szCs w:val="28"/>
                <w:lang w:val="ru-RU" w:bidi="ar-SA"/>
              </w:rPr>
              <w:t xml:space="preserve">Порядок уведомления участников отбора об отклонении заявок </w:t>
            </w:r>
          </w:p>
        </w:tc>
        <w:tc>
          <w:tcPr>
            <w:tcW w:w="6515" w:type="dxa"/>
            <w:tcBorders/>
          </w:tcPr>
          <w:p>
            <w:pPr>
              <w:pStyle w:val="Normal"/>
              <w:widowControl w:val="false"/>
              <w:suppressAutoHyphens w:val="true"/>
              <w:spacing w:before="0" w:after="0"/>
              <w:ind w:firstLine="601"/>
              <w:jc w:val="both"/>
              <w:rPr>
                <w:rFonts w:eastAsia="Calibri"/>
                <w:szCs w:val="28"/>
                <w:lang w:eastAsia="en-US"/>
              </w:rPr>
            </w:pPr>
            <w:r>
              <w:rPr>
                <w:rFonts w:eastAsia="Calibri" w:eastAsiaTheme="minorHAnsi"/>
                <w:kern w:val="0"/>
                <w:szCs w:val="28"/>
                <w:lang w:val="ru-RU" w:eastAsia="en-US" w:bidi="ar-SA"/>
              </w:rPr>
              <w:t xml:space="preserve">В случае отклонения заявки (заявок) Министерство в течение 5 рабочих дней после дня принятия решения об отклонении заявки (заявок) направляет посредством почтового отправления, или на адрес электронной почты, или иным способом, обеспечивающим подтверждение получения, участнику отбора (участникам отбора) уведомление (уведомления) об отклонении заявки (заявок) с указанием оснований принятия такого решения в соответствии с </w:t>
            </w:r>
            <w:hyperlink r:id="rId6">
              <w:r>
                <w:rPr>
                  <w:rFonts w:eastAsia="Calibri" w:eastAsiaTheme="minorHAnsi"/>
                  <w:kern w:val="0"/>
                  <w:szCs w:val="28"/>
                  <w:lang w:val="ru-RU" w:eastAsia="en-US" w:bidi="ar-SA"/>
                </w:rPr>
                <w:t>частью 23</w:t>
              </w:r>
            </w:hyperlink>
            <w:r>
              <w:rPr>
                <w:rFonts w:eastAsia="Calibri" w:eastAsiaTheme="minorHAnsi"/>
                <w:kern w:val="0"/>
                <w:szCs w:val="28"/>
                <w:lang w:val="ru-RU" w:eastAsia="en-US" w:bidi="ar-SA"/>
              </w:rPr>
              <w:t xml:space="preserve"> Порядка.</w:t>
            </w:r>
          </w:p>
          <w:p>
            <w:pPr>
              <w:pStyle w:val="Normal"/>
              <w:widowControl w:val="false"/>
              <w:suppressAutoHyphens w:val="true"/>
              <w:spacing w:before="0" w:after="0"/>
              <w:ind w:firstLine="601"/>
              <w:jc w:val="both"/>
              <w:rPr>
                <w:rFonts w:eastAsia="Calibri"/>
                <w:szCs w:val="28"/>
                <w:lang w:eastAsia="en-US"/>
              </w:rPr>
            </w:pPr>
            <w:r>
              <w:rPr>
                <w:rFonts w:eastAsia="Calibri"/>
                <w:szCs w:val="28"/>
                <w:lang w:eastAsia="en-US"/>
              </w:rPr>
            </w:r>
          </w:p>
        </w:tc>
      </w:tr>
      <w:tr>
        <w:trPr/>
        <w:tc>
          <w:tcPr>
            <w:tcW w:w="703" w:type="dxa"/>
            <w:tcBorders/>
          </w:tcPr>
          <w:p>
            <w:pPr>
              <w:pStyle w:val="Normal"/>
              <w:widowControl w:val="false"/>
              <w:tabs>
                <w:tab w:val="clear" w:pos="708"/>
                <w:tab w:val="left" w:pos="851" w:leader="none"/>
              </w:tabs>
              <w:suppressAutoHyphens w:val="true"/>
              <w:spacing w:before="0" w:after="0"/>
              <w:jc w:val="both"/>
              <w:rPr>
                <w:szCs w:val="28"/>
              </w:rPr>
            </w:pPr>
            <w:r>
              <w:rPr>
                <w:kern w:val="0"/>
                <w:szCs w:val="28"/>
                <w:lang w:val="ru-RU" w:bidi="ar-SA"/>
              </w:rPr>
              <w:t>11.</w:t>
            </w:r>
          </w:p>
        </w:tc>
        <w:tc>
          <w:tcPr>
            <w:tcW w:w="2414" w:type="dxa"/>
            <w:tcBorders/>
          </w:tcPr>
          <w:p>
            <w:pPr>
              <w:pStyle w:val="Normal"/>
              <w:widowControl w:val="false"/>
              <w:tabs>
                <w:tab w:val="clear" w:pos="708"/>
                <w:tab w:val="left" w:pos="851" w:leader="none"/>
              </w:tabs>
              <w:suppressAutoHyphens w:val="true"/>
              <w:spacing w:before="0" w:after="0"/>
              <w:jc w:val="left"/>
              <w:rPr>
                <w:szCs w:val="28"/>
              </w:rPr>
            </w:pPr>
            <w:r>
              <w:rPr>
                <w:kern w:val="0"/>
                <w:szCs w:val="28"/>
                <w:lang w:val="ru-RU" w:bidi="ar-SA"/>
              </w:rPr>
              <w:t xml:space="preserve">Порядок внесения изменений в заявки </w:t>
            </w:r>
          </w:p>
        </w:tc>
        <w:tc>
          <w:tcPr>
            <w:tcW w:w="6515" w:type="dxa"/>
            <w:tcBorders/>
          </w:tcPr>
          <w:p>
            <w:pPr>
              <w:pStyle w:val="Normal"/>
              <w:widowControl w:val="false"/>
              <w:suppressAutoHyphens w:val="true"/>
              <w:spacing w:before="0" w:after="0"/>
              <w:jc w:val="both"/>
              <w:rPr>
                <w:szCs w:val="28"/>
              </w:rPr>
            </w:pPr>
            <w:r>
              <w:rPr>
                <w:kern w:val="0"/>
                <w:szCs w:val="28"/>
                <w:lang w:val="ru-RU" w:bidi="ar-SA"/>
              </w:rPr>
              <w:t>Внесение изменений в заявку осуществляется путем направления необходимых сведений в Министерство.</w:t>
            </w:r>
          </w:p>
          <w:p>
            <w:pPr>
              <w:pStyle w:val="Normal"/>
              <w:widowControl w:val="false"/>
              <w:tabs>
                <w:tab w:val="clear" w:pos="708"/>
                <w:tab w:val="left" w:pos="851" w:leader="none"/>
              </w:tabs>
              <w:suppressAutoHyphens w:val="true"/>
              <w:spacing w:before="0" w:after="0"/>
              <w:jc w:val="both"/>
              <w:rPr>
                <w:szCs w:val="28"/>
              </w:rPr>
            </w:pPr>
            <w:r>
              <w:rPr>
                <w:szCs w:val="28"/>
              </w:rPr>
            </w:r>
          </w:p>
        </w:tc>
      </w:tr>
      <w:tr>
        <w:trPr/>
        <w:tc>
          <w:tcPr>
            <w:tcW w:w="703" w:type="dxa"/>
            <w:tcBorders/>
          </w:tcPr>
          <w:p>
            <w:pPr>
              <w:pStyle w:val="Normal"/>
              <w:widowControl w:val="false"/>
              <w:tabs>
                <w:tab w:val="clear" w:pos="708"/>
                <w:tab w:val="left" w:pos="851" w:leader="none"/>
              </w:tabs>
              <w:suppressAutoHyphens w:val="true"/>
              <w:spacing w:before="0" w:after="0"/>
              <w:jc w:val="both"/>
              <w:rPr>
                <w:szCs w:val="28"/>
              </w:rPr>
            </w:pPr>
            <w:r>
              <w:rPr>
                <w:kern w:val="0"/>
                <w:szCs w:val="28"/>
                <w:lang w:val="ru-RU" w:bidi="ar-SA"/>
              </w:rPr>
              <w:t>12.</w:t>
            </w:r>
          </w:p>
        </w:tc>
        <w:tc>
          <w:tcPr>
            <w:tcW w:w="2414" w:type="dxa"/>
            <w:tcBorders/>
          </w:tcPr>
          <w:p>
            <w:pPr>
              <w:pStyle w:val="Normal"/>
              <w:widowControl w:val="false"/>
              <w:tabs>
                <w:tab w:val="clear" w:pos="708"/>
                <w:tab w:val="left" w:pos="851" w:leader="none"/>
              </w:tabs>
              <w:suppressAutoHyphens w:val="true"/>
              <w:spacing w:before="0" w:after="0"/>
              <w:jc w:val="left"/>
              <w:rPr>
                <w:szCs w:val="28"/>
              </w:rPr>
            </w:pPr>
            <w:r>
              <w:rPr>
                <w:kern w:val="0"/>
                <w:szCs w:val="28"/>
                <w:lang w:val="ru-RU" w:bidi="ar-SA"/>
              </w:rPr>
              <w:t xml:space="preserve">Правила рассмотрения и оценки заявок </w:t>
            </w:r>
          </w:p>
        </w:tc>
        <w:tc>
          <w:tcPr>
            <w:tcW w:w="6515" w:type="dxa"/>
            <w:tcBorders/>
          </w:tcPr>
          <w:p>
            <w:pPr>
              <w:pStyle w:val="Normal"/>
              <w:widowControl w:val="false"/>
              <w:suppressAutoHyphens w:val="true"/>
              <w:spacing w:before="0" w:after="0"/>
              <w:ind w:firstLine="601"/>
              <w:jc w:val="both"/>
              <w:rPr>
                <w:rFonts w:eastAsia="Calibri"/>
                <w:szCs w:val="28"/>
                <w:lang w:eastAsia="en-US"/>
              </w:rPr>
            </w:pPr>
            <w:r>
              <w:rPr>
                <w:rFonts w:eastAsia="Calibri" w:eastAsiaTheme="minorHAnsi"/>
                <w:kern w:val="0"/>
                <w:szCs w:val="28"/>
                <w:lang w:val="ru-RU" w:eastAsia="en-US" w:bidi="ar-SA"/>
              </w:rPr>
              <w:t xml:space="preserve">Победителем (победителями) отбора признается (признаются) участник (участники) отбора, чья (чьи) заявка (заявки) соответствует (соответствуют) требованиям, установленным </w:t>
            </w:r>
            <w:hyperlink r:id="rId7">
              <w:r>
                <w:rPr>
                  <w:rFonts w:eastAsia="Calibri" w:eastAsiaTheme="minorHAnsi"/>
                  <w:kern w:val="0"/>
                  <w:szCs w:val="28"/>
                  <w:lang w:val="ru-RU" w:eastAsia="en-US" w:bidi="ar-SA"/>
                </w:rPr>
                <w:t>частью 9</w:t>
              </w:r>
            </w:hyperlink>
            <w:r>
              <w:rPr>
                <w:rFonts w:eastAsia="Calibri" w:eastAsiaTheme="minorHAnsi"/>
                <w:kern w:val="0"/>
                <w:szCs w:val="28"/>
                <w:lang w:val="ru-RU" w:eastAsia="en-US" w:bidi="ar-SA"/>
              </w:rPr>
              <w:t xml:space="preserve"> Порядка, а участник (участники) отбора при этом соответствует (соответствуют) категории и требованиям, установленным </w:t>
            </w:r>
            <w:hyperlink r:id="rId8">
              <w:r>
                <w:rPr>
                  <w:rFonts w:eastAsia="Calibri" w:eastAsiaTheme="minorHAnsi"/>
                  <w:kern w:val="0"/>
                  <w:szCs w:val="28"/>
                  <w:lang w:val="ru-RU" w:eastAsia="en-US" w:bidi="ar-SA"/>
                </w:rPr>
                <w:t>частями 7</w:t>
              </w:r>
            </w:hyperlink>
            <w:r>
              <w:rPr>
                <w:rFonts w:eastAsia="Calibri" w:eastAsiaTheme="minorHAnsi"/>
                <w:kern w:val="0"/>
                <w:szCs w:val="28"/>
                <w:lang w:val="ru-RU" w:eastAsia="en-US" w:bidi="ar-SA"/>
              </w:rPr>
              <w:t xml:space="preserve"> и </w:t>
            </w:r>
            <w:hyperlink r:id="rId9">
              <w:r>
                <w:rPr>
                  <w:rFonts w:eastAsia="Calibri" w:eastAsiaTheme="minorHAnsi"/>
                  <w:kern w:val="0"/>
                  <w:szCs w:val="28"/>
                  <w:lang w:val="ru-RU" w:eastAsia="en-US" w:bidi="ar-SA"/>
                </w:rPr>
                <w:t>8</w:t>
              </w:r>
            </w:hyperlink>
            <w:r>
              <w:rPr>
                <w:rFonts w:eastAsia="Calibri" w:eastAsiaTheme="minorHAnsi"/>
                <w:kern w:val="0"/>
                <w:szCs w:val="28"/>
                <w:lang w:val="ru-RU" w:eastAsia="en-US" w:bidi="ar-SA"/>
              </w:rPr>
              <w:t xml:space="preserve"> Порядка.</w:t>
            </w:r>
          </w:p>
          <w:p>
            <w:pPr>
              <w:pStyle w:val="Normal"/>
              <w:widowControl w:val="false"/>
              <w:suppressAutoHyphens w:val="true"/>
              <w:spacing w:before="0" w:after="0"/>
              <w:jc w:val="both"/>
              <w:rPr>
                <w:rFonts w:eastAsia="Calibri"/>
                <w:szCs w:val="28"/>
                <w:lang w:eastAsia="en-US"/>
              </w:rPr>
            </w:pPr>
            <w:r>
              <w:rPr>
                <w:rFonts w:eastAsia="Calibri"/>
                <w:szCs w:val="28"/>
                <w:lang w:eastAsia="en-US"/>
              </w:rPr>
            </w:r>
          </w:p>
        </w:tc>
      </w:tr>
      <w:tr>
        <w:trPr/>
        <w:tc>
          <w:tcPr>
            <w:tcW w:w="703" w:type="dxa"/>
            <w:tcBorders/>
          </w:tcPr>
          <w:p>
            <w:pPr>
              <w:pStyle w:val="Normal"/>
              <w:widowControl w:val="false"/>
              <w:tabs>
                <w:tab w:val="clear" w:pos="708"/>
                <w:tab w:val="left" w:pos="851" w:leader="none"/>
              </w:tabs>
              <w:suppressAutoHyphens w:val="true"/>
              <w:spacing w:before="0" w:after="0"/>
              <w:jc w:val="both"/>
              <w:rPr>
                <w:szCs w:val="28"/>
              </w:rPr>
            </w:pPr>
            <w:r>
              <w:rPr>
                <w:kern w:val="0"/>
                <w:szCs w:val="28"/>
                <w:lang w:val="ru-RU" w:bidi="ar-SA"/>
              </w:rPr>
              <w:t>13.</w:t>
            </w:r>
          </w:p>
        </w:tc>
        <w:tc>
          <w:tcPr>
            <w:tcW w:w="2414" w:type="dxa"/>
            <w:tcBorders/>
          </w:tcPr>
          <w:p>
            <w:pPr>
              <w:pStyle w:val="Normal"/>
              <w:widowControl w:val="false"/>
              <w:tabs>
                <w:tab w:val="clear" w:pos="708"/>
                <w:tab w:val="left" w:pos="851" w:leader="none"/>
              </w:tabs>
              <w:suppressAutoHyphens w:val="true"/>
              <w:spacing w:before="0" w:after="0"/>
              <w:jc w:val="left"/>
              <w:rPr>
                <w:szCs w:val="28"/>
              </w:rPr>
            </w:pPr>
            <w:r>
              <w:rPr>
                <w:kern w:val="0"/>
                <w:szCs w:val="28"/>
                <w:lang w:val="ru-RU" w:bidi="ar-SA"/>
              </w:rPr>
              <w:t xml:space="preserve">Порядок предоставления участникам отбора разъяснений положений объявления о проведении отбора, даты начала и окончания срока такого предоставления </w:t>
            </w:r>
          </w:p>
        </w:tc>
        <w:tc>
          <w:tcPr>
            <w:tcW w:w="6515" w:type="dxa"/>
            <w:tcBorders/>
          </w:tcPr>
          <w:p>
            <w:pPr>
              <w:pStyle w:val="Normal"/>
              <w:widowControl w:val="false"/>
              <w:suppressAutoHyphens w:val="true"/>
              <w:spacing w:before="0" w:after="0"/>
              <w:ind w:firstLine="601"/>
              <w:jc w:val="both"/>
              <w:rPr>
                <w:rFonts w:eastAsia="Calibri"/>
                <w:szCs w:val="28"/>
                <w:lang w:eastAsia="en-US"/>
              </w:rPr>
            </w:pPr>
            <w:r>
              <w:rPr>
                <w:rFonts w:eastAsia="Calibri" w:eastAsiaTheme="minorHAnsi"/>
                <w:kern w:val="0"/>
                <w:szCs w:val="28"/>
                <w:lang w:val="ru-RU" w:eastAsia="en-US" w:bidi="ar-SA"/>
              </w:rPr>
              <w:t>Не позднее, чем за 5 рабочих дней до даты окончания срока подачи заявок любое заинтересованное лицо вправе направить в Министерство запрос о разъяснении положений объявления (далее - запрос) с указанием адреса электронной почты для направления ответа.</w:t>
            </w:r>
          </w:p>
          <w:p>
            <w:pPr>
              <w:pStyle w:val="Normal"/>
              <w:widowControl w:val="false"/>
              <w:suppressAutoHyphens w:val="true"/>
              <w:spacing w:before="0" w:after="0"/>
              <w:ind w:firstLine="601"/>
              <w:jc w:val="both"/>
              <w:rPr>
                <w:rFonts w:eastAsia="Calibri"/>
                <w:szCs w:val="28"/>
                <w:lang w:eastAsia="en-US"/>
              </w:rPr>
            </w:pPr>
            <w:r>
              <w:rPr>
                <w:rFonts w:eastAsia="Calibri" w:eastAsiaTheme="minorHAnsi"/>
                <w:kern w:val="0"/>
                <w:szCs w:val="28"/>
                <w:lang w:val="ru-RU" w:eastAsia="en-US" w:bidi="ar-SA"/>
              </w:rPr>
              <w:t>Министерство в течение 3 рабочих дней после дня поступления запроса обязано направить разъяснения положений объявления на адрес электронной почты, указанный в запросе. Разъяснения положений объявления по отбору не должны изменять их сути.</w:t>
            </w:r>
          </w:p>
          <w:p>
            <w:pPr>
              <w:pStyle w:val="Normal"/>
              <w:widowControl w:val="false"/>
              <w:suppressAutoHyphens w:val="true"/>
              <w:spacing w:before="0" w:after="0"/>
              <w:ind w:firstLine="601"/>
              <w:jc w:val="both"/>
              <w:rPr>
                <w:rFonts w:eastAsia="Calibri"/>
                <w:szCs w:val="28"/>
                <w:lang w:eastAsia="en-US"/>
              </w:rPr>
            </w:pPr>
            <w:r>
              <w:rPr>
                <w:rFonts w:eastAsia="Calibri" w:eastAsiaTheme="minorHAnsi"/>
                <w:kern w:val="0"/>
                <w:szCs w:val="28"/>
                <w:lang w:val="ru-RU" w:eastAsia="en-US" w:bidi="ar-SA"/>
              </w:rPr>
              <w:t>Запросы, поступившие позднее, чем за 5 рабочих дней до даты окончания срока подачи заявок, не подлежат рассмотрению Министерством, о чем Министерство уведомляет лицо, направившее запрос.</w:t>
            </w:r>
          </w:p>
          <w:p>
            <w:pPr>
              <w:pStyle w:val="ConsPlusNormal1"/>
              <w:widowControl w:val="false"/>
              <w:suppressAutoHyphens w:val="true"/>
              <w:spacing w:before="0" w:after="0"/>
              <w:ind w:hanging="0"/>
              <w:jc w:val="both"/>
              <w:rPr>
                <w:szCs w:val="28"/>
              </w:rPr>
            </w:pPr>
            <w:r>
              <w:rPr>
                <w:szCs w:val="28"/>
              </w:rPr>
            </w:r>
          </w:p>
        </w:tc>
      </w:tr>
      <w:tr>
        <w:trPr/>
        <w:tc>
          <w:tcPr>
            <w:tcW w:w="703" w:type="dxa"/>
            <w:tcBorders/>
          </w:tcPr>
          <w:p>
            <w:pPr>
              <w:pStyle w:val="Normal"/>
              <w:widowControl w:val="false"/>
              <w:tabs>
                <w:tab w:val="clear" w:pos="708"/>
                <w:tab w:val="left" w:pos="851" w:leader="none"/>
              </w:tabs>
              <w:suppressAutoHyphens w:val="true"/>
              <w:spacing w:before="0" w:after="0"/>
              <w:jc w:val="both"/>
              <w:rPr>
                <w:szCs w:val="28"/>
              </w:rPr>
            </w:pPr>
            <w:r>
              <w:rPr>
                <w:kern w:val="0"/>
                <w:szCs w:val="28"/>
                <w:lang w:val="ru-RU" w:bidi="ar-SA"/>
              </w:rPr>
              <w:t>14.</w:t>
            </w:r>
          </w:p>
        </w:tc>
        <w:tc>
          <w:tcPr>
            <w:tcW w:w="2414" w:type="dxa"/>
            <w:tcBorders/>
          </w:tcPr>
          <w:p>
            <w:pPr>
              <w:pStyle w:val="Normal"/>
              <w:widowControl w:val="false"/>
              <w:tabs>
                <w:tab w:val="clear" w:pos="708"/>
                <w:tab w:val="left" w:pos="851" w:leader="none"/>
              </w:tabs>
              <w:suppressAutoHyphens w:val="true"/>
              <w:spacing w:before="0" w:after="0"/>
              <w:jc w:val="left"/>
              <w:rPr>
                <w:szCs w:val="28"/>
              </w:rPr>
            </w:pPr>
            <w:r>
              <w:rPr>
                <w:kern w:val="0"/>
                <w:szCs w:val="28"/>
                <w:lang w:val="ru-RU" w:bidi="ar-SA"/>
              </w:rPr>
              <w:t xml:space="preserve">Сроки подписания победителем (победителями) отбора соглашения о предоставлении субсидии (далее – соглашение) </w:t>
            </w:r>
          </w:p>
        </w:tc>
        <w:tc>
          <w:tcPr>
            <w:tcW w:w="6515" w:type="dxa"/>
            <w:tcBorders/>
          </w:tcPr>
          <w:p>
            <w:pPr>
              <w:pStyle w:val="Normal"/>
              <w:widowControl w:val="false"/>
              <w:suppressAutoHyphens w:val="true"/>
              <w:spacing w:before="0" w:after="0"/>
              <w:ind w:firstLine="601"/>
              <w:jc w:val="both"/>
              <w:rPr>
                <w:rFonts w:eastAsia="Calibri"/>
                <w:szCs w:val="28"/>
                <w:lang w:eastAsia="en-US"/>
              </w:rPr>
            </w:pPr>
            <w:r>
              <w:rPr>
                <w:rFonts w:eastAsia="Calibri" w:eastAsiaTheme="minorHAnsi"/>
                <w:kern w:val="0"/>
                <w:szCs w:val="28"/>
                <w:lang w:val="ru-RU" w:eastAsia="en-US" w:bidi="ar-SA"/>
              </w:rPr>
              <w:t>Министерство в течение 3 календарных дней после дня размещения на едином портале и на официальном сайте информации о результатах отбора, направляет победителю отбора проект соглашения в двух экземплярах.</w:t>
            </w:r>
          </w:p>
          <w:p>
            <w:pPr>
              <w:pStyle w:val="Normal"/>
              <w:widowControl w:val="false"/>
              <w:suppressAutoHyphens w:val="true"/>
              <w:spacing w:before="0" w:after="0"/>
              <w:ind w:firstLine="601"/>
              <w:jc w:val="both"/>
              <w:rPr>
                <w:szCs w:val="28"/>
              </w:rPr>
            </w:pPr>
            <w:r>
              <w:rPr>
                <w:rFonts w:eastAsia="Calibri" w:eastAsiaTheme="minorHAnsi"/>
                <w:kern w:val="0"/>
                <w:szCs w:val="28"/>
                <w:lang w:val="ru-RU" w:eastAsia="en-US" w:bidi="ar-SA"/>
              </w:rPr>
              <w:t>Победитель отбора в течение 5 рабочих дней после дня получения проекта соглашения подписывает его и возвращает в Министерство два экземпляра проекта соглашения.</w:t>
            </w:r>
          </w:p>
          <w:p>
            <w:pPr>
              <w:pStyle w:val="Normal"/>
              <w:widowControl w:val="false"/>
              <w:suppressAutoHyphens w:val="true"/>
              <w:spacing w:before="0" w:after="0"/>
              <w:ind w:firstLine="601"/>
              <w:jc w:val="both"/>
              <w:rPr>
                <w:szCs w:val="28"/>
              </w:rPr>
            </w:pPr>
            <w:r>
              <w:rPr>
                <w:szCs w:val="28"/>
              </w:rPr>
            </w:r>
          </w:p>
        </w:tc>
      </w:tr>
      <w:tr>
        <w:trPr/>
        <w:tc>
          <w:tcPr>
            <w:tcW w:w="703" w:type="dxa"/>
            <w:tcBorders/>
          </w:tcPr>
          <w:p>
            <w:pPr>
              <w:pStyle w:val="Normal"/>
              <w:widowControl w:val="false"/>
              <w:tabs>
                <w:tab w:val="clear" w:pos="708"/>
                <w:tab w:val="left" w:pos="851" w:leader="none"/>
              </w:tabs>
              <w:suppressAutoHyphens w:val="true"/>
              <w:spacing w:before="0" w:after="0"/>
              <w:jc w:val="both"/>
              <w:rPr>
                <w:szCs w:val="28"/>
              </w:rPr>
            </w:pPr>
            <w:r>
              <w:rPr>
                <w:kern w:val="0"/>
                <w:szCs w:val="28"/>
                <w:lang w:val="ru-RU" w:bidi="ar-SA"/>
              </w:rPr>
              <w:t>15.</w:t>
            </w:r>
          </w:p>
        </w:tc>
        <w:tc>
          <w:tcPr>
            <w:tcW w:w="2414" w:type="dxa"/>
            <w:tcBorders/>
          </w:tcPr>
          <w:p>
            <w:pPr>
              <w:pStyle w:val="Normal"/>
              <w:widowControl w:val="false"/>
              <w:tabs>
                <w:tab w:val="clear" w:pos="708"/>
                <w:tab w:val="left" w:pos="851" w:leader="none"/>
              </w:tabs>
              <w:suppressAutoHyphens w:val="true"/>
              <w:spacing w:before="0" w:after="0"/>
              <w:jc w:val="left"/>
              <w:rPr>
                <w:szCs w:val="28"/>
              </w:rPr>
            </w:pPr>
            <w:r>
              <w:rPr>
                <w:kern w:val="0"/>
                <w:szCs w:val="28"/>
                <w:lang w:val="ru-RU" w:bidi="ar-SA"/>
              </w:rPr>
              <w:t xml:space="preserve">Условия признания победителя (победителей) отбора уклонившимся (уклонившимися) от заключения соглашения </w:t>
            </w:r>
          </w:p>
        </w:tc>
        <w:tc>
          <w:tcPr>
            <w:tcW w:w="6515" w:type="dxa"/>
            <w:tcBorders/>
          </w:tcPr>
          <w:p>
            <w:pPr>
              <w:pStyle w:val="Normal"/>
              <w:widowControl w:val="false"/>
              <w:suppressAutoHyphens w:val="true"/>
              <w:spacing w:before="0" w:after="0"/>
              <w:ind w:firstLine="601"/>
              <w:jc w:val="both"/>
              <w:rPr>
                <w:rFonts w:eastAsia="Calibri"/>
                <w:szCs w:val="28"/>
                <w:lang w:eastAsia="en-US"/>
              </w:rPr>
            </w:pPr>
            <w:r>
              <w:rPr>
                <w:rFonts w:eastAsia="Calibri" w:eastAsiaTheme="minorHAnsi"/>
                <w:kern w:val="0"/>
                <w:szCs w:val="28"/>
                <w:lang w:val="ru-RU" w:eastAsia="en-US" w:bidi="ar-SA"/>
              </w:rPr>
              <w:t xml:space="preserve">В случае нарушения победителем отбора порядка подписания соглашения, установленного </w:t>
            </w:r>
            <w:hyperlink r:id="rId10">
              <w:r>
                <w:rPr>
                  <w:rFonts w:eastAsia="Calibri" w:eastAsiaTheme="minorHAnsi"/>
                  <w:kern w:val="0"/>
                  <w:szCs w:val="28"/>
                  <w:lang w:val="ru-RU" w:eastAsia="en-US" w:bidi="ar-SA"/>
                </w:rPr>
                <w:t>частью 27</w:t>
              </w:r>
            </w:hyperlink>
            <w:r>
              <w:rPr>
                <w:rFonts w:eastAsia="Calibri" w:eastAsiaTheme="minorHAnsi"/>
                <w:kern w:val="0"/>
                <w:szCs w:val="28"/>
                <w:lang w:val="ru-RU" w:eastAsia="en-US" w:bidi="ar-SA"/>
              </w:rPr>
              <w:t xml:space="preserve"> Порядка, или в случае наличия недостоверных сведений в проекте соглашения победитель отбора признается уклонившимся от заключения соглашения.</w:t>
            </w:r>
          </w:p>
        </w:tc>
      </w:tr>
      <w:tr>
        <w:trPr/>
        <w:tc>
          <w:tcPr>
            <w:tcW w:w="703" w:type="dxa"/>
            <w:tcBorders/>
          </w:tcPr>
          <w:p>
            <w:pPr>
              <w:pStyle w:val="Normal"/>
              <w:widowControl w:val="false"/>
              <w:tabs>
                <w:tab w:val="clear" w:pos="708"/>
                <w:tab w:val="left" w:pos="851" w:leader="none"/>
              </w:tabs>
              <w:suppressAutoHyphens w:val="true"/>
              <w:spacing w:before="0" w:after="0"/>
              <w:jc w:val="both"/>
              <w:rPr>
                <w:szCs w:val="28"/>
              </w:rPr>
            </w:pPr>
            <w:r>
              <w:rPr>
                <w:kern w:val="0"/>
                <w:szCs w:val="28"/>
                <w:lang w:val="ru-RU" w:bidi="ar-SA"/>
              </w:rPr>
              <w:t>16.</w:t>
            </w:r>
          </w:p>
        </w:tc>
        <w:tc>
          <w:tcPr>
            <w:tcW w:w="2414" w:type="dxa"/>
            <w:tcBorders/>
          </w:tcPr>
          <w:p>
            <w:pPr>
              <w:pStyle w:val="Normal"/>
              <w:widowControl w:val="false"/>
              <w:tabs>
                <w:tab w:val="clear" w:pos="708"/>
                <w:tab w:val="left" w:pos="851" w:leader="none"/>
              </w:tabs>
              <w:suppressAutoHyphens w:val="true"/>
              <w:spacing w:before="0" w:after="0"/>
              <w:jc w:val="left"/>
              <w:rPr>
                <w:szCs w:val="28"/>
              </w:rPr>
            </w:pPr>
            <w:r>
              <w:rPr>
                <w:kern w:val="0"/>
                <w:szCs w:val="28"/>
                <w:lang w:val="ru-RU" w:bidi="ar-SA"/>
              </w:rPr>
              <w:t xml:space="preserve">Дата размещения результатов отбора на едином портале и на официальном сайте Министерства </w:t>
            </w:r>
          </w:p>
        </w:tc>
        <w:tc>
          <w:tcPr>
            <w:tcW w:w="6515" w:type="dxa"/>
            <w:tcBorders/>
          </w:tcPr>
          <w:p>
            <w:pPr>
              <w:pStyle w:val="Normal"/>
              <w:widowControl w:val="false"/>
              <w:suppressAutoHyphens w:val="true"/>
              <w:spacing w:before="0" w:after="0"/>
              <w:ind w:firstLine="605"/>
              <w:jc w:val="both"/>
              <w:rPr>
                <w:rFonts w:eastAsia="Calibri"/>
                <w:szCs w:val="28"/>
                <w:lang w:eastAsia="en-US"/>
              </w:rPr>
            </w:pPr>
            <w:r>
              <w:rPr>
                <w:kern w:val="0"/>
                <w:szCs w:val="28"/>
                <w:lang w:val="ru-RU" w:bidi="ar-SA"/>
              </w:rPr>
              <w:t xml:space="preserve">Министерство в срок не позднее </w:t>
            </w:r>
            <w:r>
              <w:rPr>
                <w:kern w:val="0"/>
                <w:szCs w:val="28"/>
                <w:lang w:val="ru-RU" w:bidi="ar-SA"/>
              </w:rPr>
              <w:t>22</w:t>
            </w:r>
            <w:r>
              <w:rPr>
                <w:kern w:val="0"/>
                <w:szCs w:val="28"/>
                <w:lang w:val="ru-RU" w:bidi="ar-SA"/>
              </w:rPr>
              <w:t>.02.2024 (</w:t>
            </w:r>
            <w:r>
              <w:rPr>
                <w:rFonts w:eastAsia="Calibri" w:eastAsiaTheme="minorHAnsi"/>
                <w:kern w:val="0"/>
                <w:szCs w:val="28"/>
                <w:lang w:val="ru-RU" w:eastAsia="en-US" w:bidi="ar-SA"/>
              </w:rPr>
              <w:t>в срок не позднее 14 календарных дней после дня завершения отбора)</w:t>
            </w:r>
            <w:r>
              <w:rPr>
                <w:kern w:val="0"/>
                <w:szCs w:val="28"/>
                <w:lang w:val="ru-RU" w:bidi="ar-SA"/>
              </w:rPr>
              <w:t xml:space="preserve"> размещает на едином портале и на официальном сайте Министерства  </w:t>
            </w:r>
          </w:p>
          <w:p>
            <w:pPr>
              <w:pStyle w:val="Normal"/>
              <w:widowControl w:val="false"/>
              <w:suppressAutoHyphens w:val="true"/>
              <w:spacing w:before="0" w:after="0"/>
              <w:ind w:hanging="0"/>
              <w:jc w:val="both"/>
              <w:rPr>
                <w:rFonts w:eastAsia="Calibri"/>
                <w:szCs w:val="28"/>
                <w:lang w:eastAsia="en-US"/>
              </w:rPr>
            </w:pPr>
            <w:r>
              <w:rPr>
                <w:kern w:val="0"/>
                <w:szCs w:val="28"/>
                <w:lang w:val="ru-RU" w:bidi="ar-SA"/>
              </w:rPr>
              <w:t>(</w:t>
            </w:r>
            <w:hyperlink r:id="rId11">
              <w:r>
                <w:rPr>
                  <w:rStyle w:val="Style15"/>
                  <w:kern w:val="0"/>
                  <w:szCs w:val="28"/>
                  <w:lang w:val="ru-RU" w:bidi="ar-SA"/>
                </w:rPr>
                <w:t>https://minzkh.kamgov.ru/rezultat-provedenia-otbora</w:t>
              </w:r>
            </w:hyperlink>
            <w:r>
              <w:rPr>
                <w:kern w:val="0"/>
                <w:szCs w:val="28"/>
                <w:lang w:val="ru-RU" w:bidi="ar-SA"/>
              </w:rPr>
              <w:t>) информацию о результатах отбора, включающую:</w:t>
            </w:r>
          </w:p>
          <w:p>
            <w:pPr>
              <w:pStyle w:val="Normal"/>
              <w:widowControl w:val="false"/>
              <w:suppressAutoHyphens w:val="true"/>
              <w:spacing w:before="0" w:after="0"/>
              <w:ind w:firstLine="594"/>
              <w:jc w:val="both"/>
              <w:rPr>
                <w:rFonts w:eastAsia="Calibri"/>
                <w:szCs w:val="28"/>
                <w:lang w:eastAsia="en-US"/>
              </w:rPr>
            </w:pPr>
            <w:r>
              <w:rPr>
                <w:rFonts w:eastAsia="Calibri" w:eastAsiaTheme="minorHAnsi"/>
                <w:kern w:val="0"/>
                <w:szCs w:val="28"/>
                <w:lang w:val="ru-RU" w:eastAsia="en-US" w:bidi="ar-SA"/>
              </w:rPr>
              <w:t>1) дату, время и место проведения рассмотрения заявок;</w:t>
            </w:r>
          </w:p>
          <w:p>
            <w:pPr>
              <w:pStyle w:val="Normal"/>
              <w:widowControl w:val="false"/>
              <w:suppressAutoHyphens w:val="true"/>
              <w:spacing w:before="0" w:after="0"/>
              <w:ind w:firstLine="594"/>
              <w:jc w:val="both"/>
              <w:rPr>
                <w:rFonts w:eastAsia="Calibri"/>
                <w:szCs w:val="28"/>
                <w:lang w:eastAsia="en-US"/>
              </w:rPr>
            </w:pPr>
            <w:r>
              <w:rPr>
                <w:rFonts w:eastAsia="Calibri" w:eastAsiaTheme="minorHAnsi"/>
                <w:kern w:val="0"/>
                <w:szCs w:val="28"/>
                <w:lang w:val="ru-RU" w:eastAsia="en-US" w:bidi="ar-SA"/>
              </w:rPr>
              <w:t>2) информацию об участниках отбора, заявки которых были рассмотрены;</w:t>
            </w:r>
          </w:p>
          <w:p>
            <w:pPr>
              <w:pStyle w:val="Normal"/>
              <w:widowControl w:val="false"/>
              <w:suppressAutoHyphens w:val="true"/>
              <w:spacing w:before="0" w:after="0"/>
              <w:ind w:firstLine="594"/>
              <w:jc w:val="both"/>
              <w:rPr>
                <w:rFonts w:eastAsia="Calibri"/>
                <w:szCs w:val="28"/>
                <w:lang w:eastAsia="en-US"/>
              </w:rPr>
            </w:pPr>
            <w:r>
              <w:rPr>
                <w:rFonts w:eastAsia="Calibri" w:eastAsiaTheme="minorHAnsi"/>
                <w:kern w:val="0"/>
                <w:szCs w:val="28"/>
                <w:lang w:val="ru-RU" w:eastAsia="en-US" w:bidi="ar-SA"/>
              </w:rPr>
              <w:t>3) информацию об участниках отбора, заявки которых были отклонены, с указанием причин их отклонения, в том числе положений объявления, которым не соответствуют такие заявки;</w:t>
            </w:r>
          </w:p>
          <w:p>
            <w:pPr>
              <w:pStyle w:val="Normal"/>
              <w:widowControl w:val="false"/>
              <w:suppressAutoHyphens w:val="true"/>
              <w:spacing w:before="0" w:after="0"/>
              <w:ind w:firstLine="540"/>
              <w:jc w:val="both"/>
              <w:rPr>
                <w:rFonts w:eastAsia="Calibri"/>
                <w:szCs w:val="28"/>
                <w:lang w:eastAsia="en-US"/>
              </w:rPr>
            </w:pPr>
            <w:r>
              <w:rPr>
                <w:rFonts w:eastAsia="Calibri" w:eastAsiaTheme="minorHAnsi"/>
                <w:kern w:val="0"/>
                <w:szCs w:val="28"/>
                <w:lang w:val="ru-RU" w:eastAsia="en-US" w:bidi="ar-SA"/>
              </w:rPr>
              <w:t>4) наименование получателя (получателей) субсидии, с которым заключается соглашение, и размер предоставляемой ему (им) субсидии.</w:t>
            </w:r>
          </w:p>
          <w:p>
            <w:pPr>
              <w:pStyle w:val="Normal"/>
              <w:widowControl w:val="false"/>
              <w:suppressAutoHyphens w:val="true"/>
              <w:spacing w:before="0" w:after="0"/>
              <w:ind w:firstLine="540"/>
              <w:jc w:val="both"/>
              <w:rPr>
                <w:rFonts w:eastAsia="Calibri"/>
                <w:szCs w:val="28"/>
                <w:lang w:eastAsia="en-US"/>
              </w:rPr>
            </w:pPr>
            <w:r>
              <w:rPr>
                <w:rFonts w:eastAsia="Calibri"/>
                <w:szCs w:val="28"/>
                <w:lang w:eastAsia="en-US"/>
              </w:rPr>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sz w:val="24"/>
          <w:szCs w:val="22"/>
        </w:rPr>
      </w:pPr>
      <w:r>
        <w:rPr>
          <w:sz w:val="24"/>
          <w:szCs w:val="22"/>
        </w:rPr>
        <w:t>Исп.</w:t>
      </w:r>
      <w:r>
        <w:rPr>
          <w:sz w:val="24"/>
          <w:szCs w:val="22"/>
        </w:rPr>
        <w:t xml:space="preserve"> Раздьяконова Ольга Юрьевна, тел. 42-03-05</w:t>
      </w:r>
    </w:p>
    <w:sectPr>
      <w:headerReference w:type="default" r:id="rId12"/>
      <w:type w:val="nextPage"/>
      <w:pgSz w:w="11906" w:h="16838"/>
      <w:pgMar w:left="1418" w:right="851" w:gutter="0" w:header="709" w:top="1134" w:footer="0" w:bottom="1134"/>
      <w:pgNumType w:fmt="decimal"/>
      <w:formProt w:val="false"/>
      <w:titlePg/>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Open Sans">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698412521"/>
    </w:sdtPr>
    <w:sdtContent>
      <w:p>
        <w:pPr>
          <w:pStyle w:val="Style25"/>
          <w:jc w:val="center"/>
          <w:rPr>
            <w:sz w:val="24"/>
          </w:rPr>
        </w:pPr>
        <w:r>
          <w:rPr>
            <w:sz w:val="24"/>
          </w:rPr>
          <w:fldChar w:fldCharType="begin"/>
        </w:r>
        <w:r>
          <w:rPr>
            <w:sz w:val="24"/>
          </w:rPr>
          <w:instrText xml:space="preserve"> PAGE </w:instrText>
        </w:r>
        <w:r>
          <w:rPr>
            <w:sz w:val="24"/>
          </w:rPr>
          <w:fldChar w:fldCharType="separate"/>
        </w:r>
        <w:r>
          <w:rPr>
            <w:sz w:val="24"/>
          </w:rPr>
          <w:t>7</w:t>
        </w:r>
        <w:r>
          <w:rPr>
            <w:sz w:val="24"/>
          </w:rPr>
          <w:fldChar w:fldCharType="end"/>
        </w:r>
      </w:p>
    </w:sdtContent>
  </w:sdt>
  <w:p>
    <w:pPr>
      <w:pStyle w:val="Style25"/>
      <w:rPr/>
    </w:pPr>
    <w:r>
      <w:rPr/>
    </w:r>
  </w:p>
</w:hdr>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36f73"/>
    <w:pPr>
      <w:widowControl/>
      <w:suppressAutoHyphens w:val="true"/>
      <w:bidi w:val="0"/>
      <w:spacing w:lineRule="auto" w:line="240" w:before="0" w:after="0"/>
      <w:jc w:val="left"/>
    </w:pPr>
    <w:rPr>
      <w:rFonts w:ascii="Times New Roman" w:hAnsi="Times New Roman" w:eastAsia="Times New Roman" w:cs="Times New Roman"/>
      <w:color w:val="auto"/>
      <w:kern w:val="0"/>
      <w:sz w:val="28"/>
      <w:szCs w:val="24"/>
      <w:lang w:val="ru-RU" w:eastAsia="ru-RU" w:bidi="ar-SA"/>
    </w:rPr>
  </w:style>
  <w:style w:type="character" w:styleId="DefaultParagraphFont" w:default="1">
    <w:name w:val="Default Paragraph Font"/>
    <w:uiPriority w:val="1"/>
    <w:semiHidden/>
    <w:unhideWhenUsed/>
    <w:qFormat/>
    <w:rPr/>
  </w:style>
  <w:style w:type="character" w:styleId="ConsPlusNormal" w:customStyle="1">
    <w:name w:val="ConsPlusNormal Знак"/>
    <w:link w:val="ConsPlusNormal1"/>
    <w:qFormat/>
    <w:rsid w:val="0009029f"/>
    <w:rPr>
      <w:rFonts w:ascii="Arial" w:hAnsi="Arial" w:eastAsia="Times New Roman" w:cs="Arial"/>
      <w:sz w:val="20"/>
      <w:szCs w:val="20"/>
      <w:lang w:eastAsia="ru-RU"/>
    </w:rPr>
  </w:style>
  <w:style w:type="character" w:styleId="Style14" w:customStyle="1">
    <w:name w:val="Нижний колонтитул Знак"/>
    <w:basedOn w:val="DefaultParagraphFont"/>
    <w:uiPriority w:val="99"/>
    <w:qFormat/>
    <w:rsid w:val="00752057"/>
    <w:rPr>
      <w:rFonts w:ascii="Times New Roman" w:hAnsi="Times New Roman" w:eastAsia="Times New Roman" w:cs="Times New Roman"/>
      <w:sz w:val="28"/>
      <w:szCs w:val="28"/>
      <w:lang w:eastAsia="ru-RU"/>
    </w:rPr>
  </w:style>
  <w:style w:type="character" w:styleId="Style15">
    <w:name w:val="Hyperlink"/>
    <w:basedOn w:val="DefaultParagraphFont"/>
    <w:uiPriority w:val="99"/>
    <w:unhideWhenUsed/>
    <w:rsid w:val="00525fc9"/>
    <w:rPr>
      <w:color w:val="0563C1" w:themeColor="hyperlink"/>
      <w:u w:val="single"/>
    </w:rPr>
  </w:style>
  <w:style w:type="character" w:styleId="Style16" w:customStyle="1">
    <w:name w:val="Верхний колонтитул Знак"/>
    <w:basedOn w:val="DefaultParagraphFont"/>
    <w:uiPriority w:val="99"/>
    <w:qFormat/>
    <w:rsid w:val="005d4abe"/>
    <w:rPr>
      <w:rFonts w:ascii="Times New Roman" w:hAnsi="Times New Roman" w:eastAsia="Times New Roman" w:cs="Times New Roman"/>
      <w:sz w:val="28"/>
      <w:szCs w:val="24"/>
      <w:lang w:eastAsia="ru-RU"/>
    </w:rPr>
  </w:style>
  <w:style w:type="character" w:styleId="Style17">
    <w:name w:val="FollowedHyperlink"/>
    <w:basedOn w:val="DefaultParagraphFont"/>
    <w:uiPriority w:val="99"/>
    <w:semiHidden/>
    <w:unhideWhenUsed/>
    <w:rsid w:val="00c22fdc"/>
    <w:rPr>
      <w:color w:val="954F72" w:themeColor="followedHyperlink"/>
      <w:u w:val="single"/>
    </w:rPr>
  </w:style>
  <w:style w:type="paragraph" w:styleId="Style18">
    <w:name w:val="Заголовок"/>
    <w:basedOn w:val="Normal"/>
    <w:next w:val="Style19"/>
    <w:qFormat/>
    <w:pPr>
      <w:keepNext w:val="true"/>
      <w:spacing w:before="240" w:after="120"/>
    </w:pPr>
    <w:rPr>
      <w:rFonts w:ascii="Open Sans" w:hAnsi="Open Sans" w:eastAsia="Tahoma" w:cs="Lohit Devanagari"/>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Lohit Devanagari"/>
    </w:rPr>
  </w:style>
  <w:style w:type="paragraph" w:styleId="Style21">
    <w:name w:val="Caption"/>
    <w:basedOn w:val="Normal"/>
    <w:qFormat/>
    <w:pPr>
      <w:suppressLineNumbers/>
      <w:spacing w:before="120" w:after="120"/>
    </w:pPr>
    <w:rPr>
      <w:rFonts w:cs="Lohit Devanagari"/>
      <w:i/>
      <w:iCs/>
      <w:sz w:val="24"/>
      <w:szCs w:val="24"/>
    </w:rPr>
  </w:style>
  <w:style w:type="paragraph" w:styleId="Style22">
    <w:name w:val="Указатель"/>
    <w:basedOn w:val="Normal"/>
    <w:qFormat/>
    <w:pPr>
      <w:suppressLineNumbers/>
    </w:pPr>
    <w:rPr>
      <w:rFonts w:cs="Lohit Devanagari"/>
    </w:rPr>
  </w:style>
  <w:style w:type="paragraph" w:styleId="ConsPlusNormal1" w:customStyle="1">
    <w:name w:val="ConsPlusNormal"/>
    <w:link w:val="ConsPlusNormal"/>
    <w:qFormat/>
    <w:rsid w:val="0009029f"/>
    <w:pPr>
      <w:widowControl w:val="false"/>
      <w:suppressAutoHyphens w:val="true"/>
      <w:bidi w:val="0"/>
      <w:spacing w:lineRule="auto" w:line="240" w:before="0" w:after="0"/>
      <w:ind w:firstLine="720"/>
      <w:jc w:val="left"/>
    </w:pPr>
    <w:rPr>
      <w:rFonts w:ascii="Arial" w:hAnsi="Arial" w:eastAsia="Times New Roman" w:cs="Arial"/>
      <w:color w:val="auto"/>
      <w:kern w:val="0"/>
      <w:sz w:val="20"/>
      <w:szCs w:val="20"/>
      <w:lang w:val="ru-RU" w:eastAsia="ru-RU" w:bidi="ar-SA"/>
    </w:rPr>
  </w:style>
  <w:style w:type="paragraph" w:styleId="ConsPlusTitle" w:customStyle="1">
    <w:name w:val="ConsPlusTitle"/>
    <w:qFormat/>
    <w:rsid w:val="00df5fef"/>
    <w:pPr>
      <w:widowControl w:val="false"/>
      <w:suppressAutoHyphens w:val="true"/>
      <w:bidi w:val="0"/>
      <w:spacing w:lineRule="auto" w:line="240" w:before="0" w:after="0"/>
      <w:jc w:val="left"/>
    </w:pPr>
    <w:rPr>
      <w:rFonts w:ascii="Calibri" w:hAnsi="Calibri" w:eastAsia="Times New Roman" w:cs="Calibri" w:asciiTheme="minorHAnsi" w:hAnsiTheme="minorHAnsi"/>
      <w:b/>
      <w:color w:val="auto"/>
      <w:kern w:val="0"/>
      <w:sz w:val="22"/>
      <w:szCs w:val="20"/>
      <w:lang w:val="ru-RU" w:eastAsia="ru-RU" w:bidi="ar-SA"/>
    </w:rPr>
  </w:style>
  <w:style w:type="paragraph" w:styleId="Style23">
    <w:name w:val="Колонтитул"/>
    <w:basedOn w:val="Normal"/>
    <w:qFormat/>
    <w:pPr/>
    <w:rPr/>
  </w:style>
  <w:style w:type="paragraph" w:styleId="Style24">
    <w:name w:val="Footer"/>
    <w:basedOn w:val="Normal"/>
    <w:link w:val="Style14"/>
    <w:uiPriority w:val="99"/>
    <w:rsid w:val="00752057"/>
    <w:pPr>
      <w:tabs>
        <w:tab w:val="clear" w:pos="708"/>
        <w:tab w:val="center" w:pos="4677" w:leader="none"/>
        <w:tab w:val="right" w:pos="9355" w:leader="none"/>
      </w:tabs>
    </w:pPr>
    <w:rPr>
      <w:szCs w:val="28"/>
    </w:rPr>
  </w:style>
  <w:style w:type="paragraph" w:styleId="Style25">
    <w:name w:val="Header"/>
    <w:basedOn w:val="Normal"/>
    <w:link w:val="Style16"/>
    <w:uiPriority w:val="99"/>
    <w:unhideWhenUsed/>
    <w:rsid w:val="005d4abe"/>
    <w:pPr>
      <w:tabs>
        <w:tab w:val="clear" w:pos="708"/>
        <w:tab w:val="center" w:pos="4677" w:leader="none"/>
        <w:tab w:val="right" w:pos="9355" w:leader="none"/>
      </w:tab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39"/>
    <w:rsid w:val="00636f7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tek1@kamgov.ru" TargetMode="External"/><Relationship Id="rId3" Type="http://schemas.openxmlformats.org/officeDocument/2006/relationships/hyperlink" Target="https://www.kamgov.ru/minzkh/current_activities/test/otbor_na_predstovlenie_subsidii" TargetMode="External"/><Relationship Id="rId4" Type="http://schemas.openxmlformats.org/officeDocument/2006/relationships/hyperlink" Target="consultantplus://offline/ref=A7FFE1F2864639C4BF6828697035292368A78CA46E988F391F788C0846055AA9DA4ED0EBF459DB2CDAED8961E0183AE38130B4160E42E564E947545EdDmEX" TargetMode="External"/><Relationship Id="rId5" Type="http://schemas.openxmlformats.org/officeDocument/2006/relationships/hyperlink" Target="https://minzkh.kamgov.ru/current_activities/test/otbor_na_predstovlenie_subsidii/normativnye-dokumenty" TargetMode="External"/><Relationship Id="rId6" Type="http://schemas.openxmlformats.org/officeDocument/2006/relationships/hyperlink" Target="consultantplus://offline/ref=110A6859818B71EBDC844009AB269AD29D2BE961F789B2A64BE3E92CD4569295A285DDC6C971A78A3A5818CD921A54E5941CA57E2D0C079AD1761CDCF2Z4F" TargetMode="External"/><Relationship Id="rId7" Type="http://schemas.openxmlformats.org/officeDocument/2006/relationships/hyperlink" Target="consultantplus://offline/ref=8DC70FD8D9524FD17D61AF7EF5AEBD5EFDE745ADDA1DE01AE50959C1D9088573F2BD824E270A1B2574E91D338DB493EF5133906D5179B5BA0CE0E4B8d8a3F" TargetMode="External"/><Relationship Id="rId8" Type="http://schemas.openxmlformats.org/officeDocument/2006/relationships/hyperlink" Target="consultantplus://offline/ref=8DC70FD8D9524FD17D61AF7EF5AEBD5EFDE745ADDA1DE01AE50959C1D9088573F2BD824E270A1B2574E91D308DB493EF5133906D5179B5BA0CE0E4B8d8a3F" TargetMode="External"/><Relationship Id="rId9" Type="http://schemas.openxmlformats.org/officeDocument/2006/relationships/hyperlink" Target="consultantplus://offline/ref=8DC70FD8D9524FD17D61AF7EF5AEBD5EFDE745ADDA1DE01AE50959C1D9088573F2BD824E270A1B2574E91D308EB493EF5133906D5179B5BA0CE0E4B8d8a3F" TargetMode="External"/><Relationship Id="rId10" Type="http://schemas.openxmlformats.org/officeDocument/2006/relationships/hyperlink" Target="consultantplus://offline/ref=6510C9E262E648CCA6621DE8BE8ACF7C8E871C0941570D121B710EF759CDE259A578225789D002C1A15641A31B699C06A2C4D42FA3E17DA3A53DE025AFdDF" TargetMode="External"/><Relationship Id="rId11" Type="http://schemas.openxmlformats.org/officeDocument/2006/relationships/hyperlink" Target="https://minzkh.kamgov.ru/rezultat-provedenia-otbora"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398</TotalTime>
  <Application>LibreOffice/7.4.4.2$Linux_X86_64 LibreOffice_project/40$Build-2</Application>
  <AppVersion>15.0000</AppVersion>
  <Pages>7</Pages>
  <Words>1395</Words>
  <Characters>10295</Characters>
  <CharactersWithSpaces>11625</CharactersWithSpaces>
  <Paragraphs>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2022-12-28T04:59:00Z</dcterms:created>
  <dc:creator>Попова Елена Николаевна</dc:creator>
  <dc:description/>
  <dc:language>ru-RU</dc:language>
  <cp:lastModifiedBy/>
  <dcterms:modified xsi:type="dcterms:W3CDTF">2024-01-29T11:17:18Z</dcterms:modified>
  <cp:revision>32</cp:revision>
  <dc:subject/>
  <dc:title/>
</cp:coreProperties>
</file>

<file path=docProps/custom.xml><?xml version="1.0" encoding="utf-8"?>
<Properties xmlns="http://schemas.openxmlformats.org/officeDocument/2006/custom-properties" xmlns:vt="http://schemas.openxmlformats.org/officeDocument/2006/docPropsVTypes"/>
</file>