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нормативов потерь питьевой воды в централизованных системах водоснабжения при ее производстве и транспортировке КГУП «Камчатский водоканал»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на территории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Петропавловск-Камчатского городского округа Камчатского края на 2024-2028 годы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1. Утвердить 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на территории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 Петропавловск-Камчатского городского округа Камчатского края на 2024-2028 годы</w:t>
      </w:r>
      <w:r>
        <w:rPr>
          <w:rFonts w:ascii="Times New Roman" w:hAnsi="Times New Roman"/>
          <w:sz w:val="28"/>
        </w:rPr>
        <w:t>, согласно приложению к настоящему приказу.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0" w:type="dxa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4392"/>
        <w:gridCol w:w="2283"/>
      </w:tblGrid>
      <w:tr>
        <w:trPr>
          <w:trHeight w:val="2220" w:hRule="atLeast"/>
        </w:trPr>
        <w:tc>
          <w:tcPr>
            <w:tcW w:w="29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type w:val="nextPage"/>
          <w:pgSz w:w="11906" w:h="16838"/>
          <w:pgMar w:left="1418" w:right="843" w:gutter="0" w:header="0" w:top="1134" w:footer="0" w:bottom="67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070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7"/>
        <w:gridCol w:w="487"/>
        <w:gridCol w:w="1700"/>
      </w:tblGrid>
      <w:tr>
        <w:trPr/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aps w:val="false"/>
                <w:smallCaps w:val="false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на территории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 Петропавловск-Камчатского городского округа Камчатского края на 2024-2028 годы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862"/>
        <w:gridCol w:w="2817"/>
      </w:tblGrid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Вид нормативов потерь воды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производстве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8,71</w:t>
            </w:r>
          </w:p>
        </w:tc>
      </w:tr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транспортировке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60,05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8" w:right="843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LibreOffice/7.5.3.2$Windows_X86_64 LibreOffice_project/9f56dff12ba03b9acd7730a5a481eea045e468f3</Application>
  <AppVersion>15.0000</AppVersion>
  <Pages>2</Pages>
  <Words>220</Words>
  <Characters>1681</Characters>
  <CharactersWithSpaces>1871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2023-11-23T15:59:53Z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