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bookmarkStart w:id="1" w:name="P426"/>
      <w:bookmarkEnd w:id="1"/>
      <w:r>
        <w:rPr>
          <w:rFonts w:ascii="Times New Roman" w:hAnsi="Times New Roman"/>
          <w:sz w:val="28"/>
        </w:rPr>
        <w:t>ПРОТОКОЛ № 60</w:t>
      </w:r>
    </w:p>
    <w:p w14:paraId="02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14:paraId="03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04000000">
      <w:pPr>
        <w:pStyle w:val="Style_1"/>
        <w:ind/>
        <w:jc w:val="right"/>
      </w:pPr>
      <w:r>
        <w:rPr>
          <w:rFonts w:ascii="Times New Roman" w:hAnsi="Times New Roman"/>
          <w:sz w:val="26"/>
        </w:rPr>
        <w:t xml:space="preserve">                                      </w:t>
      </w:r>
      <w:r>
        <w:rPr>
          <w:rFonts w:ascii="Times New Roman" w:hAnsi="Times New Roman"/>
          <w:sz w:val="26"/>
        </w:rPr>
        <w:t>"</w:t>
      </w:r>
      <w:r>
        <w:rPr>
          <w:rFonts w:ascii="Times New Roman" w:hAnsi="Times New Roman"/>
          <w:sz w:val="26"/>
        </w:rPr>
        <w:t>17</w:t>
      </w:r>
      <w:r>
        <w:rPr>
          <w:rFonts w:ascii="Times New Roman" w:hAnsi="Times New Roman"/>
          <w:sz w:val="26"/>
        </w:rPr>
        <w:t xml:space="preserve">" </w:t>
      </w:r>
      <w:r>
        <w:rPr>
          <w:rFonts w:ascii="Times New Roman" w:hAnsi="Times New Roman"/>
          <w:sz w:val="26"/>
        </w:rPr>
        <w:t>мая</w:t>
      </w:r>
      <w:r>
        <w:rPr>
          <w:rFonts w:ascii="Times New Roman" w:hAnsi="Times New Roman"/>
          <w:sz w:val="26"/>
        </w:rPr>
        <w:t xml:space="preserve"> 2023 г.</w:t>
      </w:r>
    </w:p>
    <w:p w14:paraId="05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06000000">
      <w:pPr>
        <w:pStyle w:val="Style_1"/>
        <w:ind/>
        <w:jc w:val="both"/>
      </w:pPr>
      <w:r>
        <w:rPr>
          <w:rFonts w:ascii="Times New Roman" w:hAnsi="Times New Roman"/>
          <w:sz w:val="26"/>
        </w:rPr>
        <w:t>Время проведения заседания: с 10 час. 00 мин. по 10 час. 10 мин.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07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 xml:space="preserve">Место проведения заседания Комиссии: каб. 202, пр. Карла Маркса, д. 5,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Министерство жилищно-коммунального хозяйства и энергетики Камчатского края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</w:pPr>
      <w:r>
        <w:rPr>
          <w:sz w:val="26"/>
        </w:rPr>
        <w:t>Присутствовали:</w:t>
      </w:r>
    </w:p>
    <w:p w14:paraId="0A000000">
      <w:pPr>
        <w:ind/>
        <w:jc w:val="both"/>
        <w:rPr>
          <w:sz w:val="26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05"/>
      </w:tblGrid>
      <w:tr>
        <w:trPr>
          <w:trHeight w:hRule="atLeast" w:val="334"/>
        </w:trPr>
        <w:tc>
          <w:tcPr>
            <w:tcW w:type="dxa" w:w="102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tblStyle w:val="Style_2"/>
              <w:tblInd w:type="dxa" w:w="108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6062"/>
              <w:gridCol w:w="4111"/>
            </w:tblGrid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B000000">
                  <w:pPr>
                    <w:ind/>
                    <w:jc w:val="both"/>
                  </w:pPr>
                  <w:r>
                    <w:rPr>
                      <w:sz w:val="26"/>
                    </w:rPr>
                    <w:t>Начальник отдела экономики и реформирования ЖКХ</w:t>
                  </w:r>
                  <w:r>
                    <w:rPr>
                      <w:sz w:val="26"/>
                    </w:rPr>
                    <w:t xml:space="preserve"> Министерства жилищно-коммунального хозяйства и энергетики Камчатского края, заместитель председателя комиссии</w:t>
                  </w:r>
                </w:p>
                <w:p w14:paraId="0C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D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0E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0F000000">
                  <w:pPr>
                    <w:ind/>
                    <w:jc w:val="right"/>
                  </w:pPr>
                </w:p>
                <w:p w14:paraId="10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>- Е.Н. Попова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1000000">
                  <w:pPr>
                    <w:ind/>
                    <w:jc w:val="both"/>
                  </w:pPr>
                  <w:r>
                    <w:rPr>
                      <w:sz w:val="26"/>
                    </w:rPr>
                    <w:t>Начальник отдела правового обеспечения и контроля Министерства жилищно-коммунального хозяйства и энергетики Камчатского края, секретарь Комиссии</w:t>
                  </w:r>
                </w:p>
                <w:p w14:paraId="12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3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14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15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 xml:space="preserve">- М.И. Панихина 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6000000">
                  <w:pPr>
                    <w:ind/>
                    <w:jc w:val="both"/>
                  </w:pPr>
                  <w:r>
                    <w:rPr>
                      <w:sz w:val="26"/>
                    </w:rPr>
                    <w:t>Начальник юридического отдела Фонда капитального ремонта многоквартирных домов Камчатского края</w:t>
                  </w:r>
                </w:p>
                <w:p w14:paraId="17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8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19000000">
                  <w:pPr>
                    <w:ind w:right="284"/>
                    <w:jc w:val="right"/>
                  </w:pPr>
                  <w:r>
                    <w:rPr>
                      <w:sz w:val="26"/>
                    </w:rPr>
                    <w:t>- В.Н. Андросов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A000000">
                  <w:pPr>
                    <w:ind/>
                    <w:jc w:val="both"/>
                  </w:pPr>
                  <w:r>
                    <w:rPr>
                      <w:sz w:val="26"/>
                    </w:rPr>
                    <w:t>Начальник одела закупок Фонда Капитального ремонта многоквартирных домов Камчатского края</w:t>
                  </w:r>
                </w:p>
                <w:p w14:paraId="1B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C000000">
                  <w:pPr>
                    <w:ind w:right="142"/>
                    <w:jc w:val="right"/>
                    <w:rPr>
                      <w:sz w:val="26"/>
                    </w:rPr>
                  </w:pPr>
                </w:p>
                <w:p w14:paraId="1D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>- А.С. Ларкин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E000000">
                  <w:pPr>
                    <w:ind/>
                    <w:jc w:val="both"/>
                  </w:pPr>
                  <w:r>
                    <w:rPr>
                      <w:sz w:val="26"/>
                      <w:highlight w:val="white"/>
                    </w:rPr>
                    <w:t>Заместитель генерального директора Фонда капитального ремонта многоквартирных домов Камчатского края</w:t>
                  </w:r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F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0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1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>- В.В. Лозицкий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2000000">
                  <w:pPr>
                    <w:ind/>
                    <w:jc w:val="both"/>
                    <w:rPr>
                      <w:sz w:val="26"/>
                      <w:highlight w:val="white"/>
                    </w:rPr>
                  </w:pPr>
                </w:p>
                <w:p w14:paraId="23000000">
                  <w:pPr>
                    <w:ind/>
                    <w:jc w:val="both"/>
                  </w:pPr>
                  <w:r>
                    <w:rPr>
                      <w:sz w:val="26"/>
                      <w:highlight w:val="white"/>
                    </w:rPr>
                    <w:t>Заместитель генерального директора Фонда капитального ремонта многоквартирных домов Камчатского края</w:t>
                  </w:r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4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5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6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7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>- А.П. Макарова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8000000">
                  <w:pPr>
                    <w:ind/>
                    <w:jc w:val="both"/>
                    <w:rPr>
                      <w:sz w:val="26"/>
                    </w:rPr>
                  </w:pPr>
                </w:p>
                <w:p w14:paraId="29000000">
                  <w:pPr>
                    <w:ind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Референт Группы</w:t>
                  </w:r>
                  <w:r>
                    <w:rPr>
                      <w:sz w:val="26"/>
                    </w:rPr>
                    <w:t xml:space="preserve"> мониторинга и реализации программ капитального ремонта</w:t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отдела экономики и реформирования ЖКХ Министерства жилищно-коммунального хозяйства и энергетики Камчатского края</w:t>
                  </w: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A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B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C000000">
                  <w:pPr>
                    <w:ind w:right="142"/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- А.М. Ющенко</w:t>
                  </w:r>
                </w:p>
                <w:p w14:paraId="2D000000">
                  <w:pPr>
                    <w:ind/>
                    <w:jc w:val="right"/>
                    <w:rPr>
                      <w:sz w:val="26"/>
                    </w:rPr>
                  </w:pP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E000000">
                  <w:pPr>
                    <w:ind/>
                    <w:jc w:val="both"/>
                    <w:rPr>
                      <w:sz w:val="26"/>
                      <w:highlight w:val="white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F000000">
                  <w:pPr>
                    <w:ind/>
                    <w:jc w:val="right"/>
                    <w:rPr>
                      <w:sz w:val="26"/>
                      <w:highlight w:val="white"/>
                    </w:rPr>
                  </w:pPr>
                </w:p>
              </w:tc>
            </w:tr>
          </w:tbl>
          <w:p w14:paraId="30000000">
            <w:pPr>
              <w:ind/>
              <w:jc w:val="both"/>
              <w:rPr>
                <w:sz w:val="26"/>
              </w:rPr>
            </w:pPr>
          </w:p>
        </w:tc>
      </w:tr>
    </w:tbl>
    <w:p w14:paraId="31000000">
      <w:pPr>
        <w:ind/>
        <w:jc w:val="both"/>
      </w:pPr>
    </w:p>
    <w:p w14:paraId="32000000">
      <w:pPr>
        <w:ind/>
        <w:jc w:val="both"/>
      </w:pPr>
    </w:p>
    <w:p w14:paraId="33000000">
      <w:pPr>
        <w:ind/>
        <w:jc w:val="both"/>
      </w:pPr>
      <w:r>
        <w:rPr>
          <w:sz w:val="26"/>
        </w:rPr>
        <w:t>---------------------------------------------------------------------------------------------------------------</w:t>
      </w:r>
    </w:p>
    <w:p w14:paraId="34000000">
      <w:pPr>
        <w:ind w:firstLine="709" w:left="0" w:right="0"/>
        <w:jc w:val="both"/>
      </w:pPr>
      <w:r>
        <w:rPr>
          <w:sz w:val="26"/>
        </w:rPr>
        <w:t>1. Рассмотрение обращения общества с ограниченной ответственностью «</w:t>
      </w:r>
      <w:r>
        <w:rPr>
          <w:sz w:val="26"/>
        </w:rPr>
        <w:t>К5</w:t>
      </w:r>
      <w:r>
        <w:rPr>
          <w:sz w:val="26"/>
        </w:rPr>
        <w:t>» (далее – ООО «</w:t>
      </w:r>
      <w:r>
        <w:rPr>
          <w:sz w:val="26"/>
        </w:rPr>
        <w:t>К5</w:t>
      </w:r>
      <w:r>
        <w:rPr>
          <w:sz w:val="26"/>
        </w:rPr>
        <w:t>») об изменении сведений о подрядной организации, содержащихся в реестре квалифицированных подрядных организаций, в части изменения предельного размера по договорам подряда, заключенным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14:paraId="35000000">
      <w:pPr>
        <w:ind/>
        <w:jc w:val="both"/>
      </w:pPr>
      <w:r>
        <w:t>---------------------------------------------------------------------------------------------------------------</w:t>
      </w: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69"/>
        <w:gridCol w:w="2410"/>
        <w:gridCol w:w="3544"/>
      </w:tblGrid>
      <w:tr>
        <w:trPr>
          <w:trHeight w:hRule="atLeast" w:val="1046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ind/>
              <w:jc w:val="center"/>
            </w:pPr>
            <w:r>
              <w:t>Общество с ограниченной ответственностью «</w:t>
            </w:r>
            <w:r>
              <w:rPr>
                <w:sz w:val="26"/>
              </w:rPr>
              <w:t>К5</w:t>
            </w:r>
            <w:r>
              <w:t>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ind/>
              <w:jc w:val="center"/>
            </w:pPr>
            <w:r>
              <w:rPr>
                <w:rFonts w:ascii="Tahoma" w:hAnsi="Tahoma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  <w:t>2721255432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pPr>
              <w:pStyle w:val="Style_4"/>
              <w:ind/>
              <w:jc w:val="center"/>
            </w:pPr>
            <w:r>
              <w:t>680020</w:t>
            </w:r>
            <w:r>
              <w:t xml:space="preserve">, Российская Федерация, Хабаровский край, </w:t>
            </w:r>
          </w:p>
          <w:p w14:paraId="3C000000">
            <w:pPr>
              <w:pStyle w:val="Style_4"/>
              <w:ind/>
              <w:jc w:val="center"/>
            </w:pPr>
            <w:r>
              <w:t>г.Хабаровск, ул. Волочаевская, д. 117, кв. 10</w:t>
            </w:r>
          </w:p>
          <w:p w14:paraId="3D000000">
            <w:pPr>
              <w:pStyle w:val="Style_4"/>
              <w:ind/>
              <w:jc w:val="center"/>
            </w:pPr>
            <w:r>
              <w:t xml:space="preserve">/ </w:t>
            </w:r>
            <w:r>
              <w:t>79144061460</w:t>
            </w:r>
            <w:r>
              <w:t xml:space="preserve">/ </w:t>
            </w:r>
          </w:p>
          <w:p w14:paraId="3E000000">
            <w:pPr>
              <w:pStyle w:val="Style_4"/>
              <w:ind/>
              <w:jc w:val="center"/>
            </w:pPr>
            <w:r>
              <w:t>oook52022@mail.ru</w:t>
            </w:r>
          </w:p>
        </w:tc>
      </w:tr>
    </w:tbl>
    <w:p w14:paraId="3F000000">
      <w:pPr>
        <w:ind w:firstLine="708" w:left="0" w:right="0"/>
        <w:jc w:val="both"/>
        <w:rPr>
          <w:sz w:val="28"/>
        </w:rPr>
      </w:pPr>
    </w:p>
    <w:p w14:paraId="40000000">
      <w:pPr>
        <w:pStyle w:val="Style_4"/>
        <w:ind w:firstLine="708" w:left="0" w:right="0"/>
        <w:jc w:val="both"/>
      </w:pPr>
      <w:r>
        <w:rPr>
          <w:sz w:val="26"/>
        </w:rPr>
        <w:t>ООО «</w:t>
      </w:r>
      <w:r>
        <w:rPr>
          <w:sz w:val="26"/>
        </w:rPr>
        <w:t>К5</w:t>
      </w:r>
      <w:r>
        <w:rPr>
          <w:sz w:val="26"/>
        </w:rPr>
        <w:t>» включено в реестр квалифицированных подрядных организаций, имеющих право принимать участие в электронных аукционах по предмету «Выполнение работ и (или) выполнения работ по капитальному ремонту общего имущества многоквартирных домов» (номер реестровой записи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00272125543220230001</w:t>
      </w:r>
      <w:r>
        <w:rPr>
          <w:sz w:val="26"/>
        </w:rPr>
        <w:t xml:space="preserve">). </w:t>
      </w:r>
    </w:p>
    <w:p w14:paraId="41000000">
      <w:pPr>
        <w:ind w:firstLine="708" w:left="0" w:right="0"/>
        <w:jc w:val="both"/>
      </w:pPr>
      <w:r>
        <w:rPr>
          <w:sz w:val="26"/>
        </w:rPr>
        <w:t>Предельный размер обязательств ООО «</w:t>
      </w:r>
      <w:r>
        <w:rPr>
          <w:sz w:val="26"/>
        </w:rPr>
        <w:t>К5</w:t>
      </w:r>
      <w:r>
        <w:rPr>
          <w:sz w:val="26"/>
        </w:rPr>
        <w:t>»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ООО «</w:t>
      </w:r>
      <w:r>
        <w:rPr>
          <w:sz w:val="26"/>
        </w:rPr>
        <w:t>К5</w:t>
      </w:r>
      <w:r>
        <w:rPr>
          <w:sz w:val="26"/>
        </w:rPr>
        <w:t>», как член соответствующей саморегулируемой организации, внесло взнос в компенсационный фонд обеспечения договорных обязательств, составлял 60 000 000,00 руб.</w:t>
      </w:r>
    </w:p>
    <w:p w14:paraId="42000000">
      <w:pPr>
        <w:ind w:firstLine="708" w:left="0" w:right="0"/>
        <w:jc w:val="both"/>
      </w:pPr>
      <w:r>
        <w:rPr>
          <w:sz w:val="26"/>
        </w:rPr>
        <w:t>Согласно информации, представленной ООО «</w:t>
      </w:r>
      <w:r>
        <w:rPr>
          <w:sz w:val="26"/>
        </w:rPr>
        <w:t>К5</w:t>
      </w:r>
      <w:r>
        <w:rPr>
          <w:sz w:val="26"/>
        </w:rPr>
        <w:t>» в соответствии с абзацем вторым пункта 69 Положения, утвержденного постановлением Правительства Российской Федерации от 01.07.2016 № 615, предельный размер обязательств ООО «</w:t>
      </w:r>
      <w:r>
        <w:rPr>
          <w:sz w:val="26"/>
        </w:rPr>
        <w:t>К5</w:t>
      </w:r>
      <w:r>
        <w:rPr>
          <w:sz w:val="26"/>
        </w:rPr>
        <w:t>»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ООО «</w:t>
      </w:r>
      <w:r>
        <w:rPr>
          <w:sz w:val="26"/>
        </w:rPr>
        <w:t>К5</w:t>
      </w:r>
      <w:r>
        <w:rPr>
          <w:sz w:val="26"/>
        </w:rPr>
        <w:t>», как член соответствующей саморегулируемой, организации внесло взнос в компенсационный фонд обеспечения договорных обязательств, увеличился до 500 000 000,00 руб.</w:t>
      </w:r>
    </w:p>
    <w:p w14:paraId="43000000">
      <w:pPr>
        <w:ind w:firstLine="708" w:left="0" w:right="0"/>
        <w:jc w:val="both"/>
        <w:rPr>
          <w:sz w:val="26"/>
        </w:rPr>
      </w:pPr>
    </w:p>
    <w:p w14:paraId="44000000">
      <w:pPr>
        <w:ind w:firstLine="708" w:left="0" w:right="0"/>
        <w:jc w:val="both"/>
        <w:rPr>
          <w:sz w:val="26"/>
        </w:rPr>
      </w:pPr>
    </w:p>
    <w:p w14:paraId="45000000">
      <w:pPr>
        <w:ind w:firstLine="708" w:left="0" w:right="0"/>
        <w:jc w:val="both"/>
      </w:pPr>
      <w:r>
        <w:rPr>
          <w:sz w:val="26"/>
        </w:rPr>
        <w:t>РЕШЕНИЕ:</w:t>
      </w:r>
    </w:p>
    <w:p w14:paraId="46000000">
      <w:pPr>
        <w:ind w:firstLine="708" w:left="0" w:right="0"/>
        <w:jc w:val="both"/>
      </w:pPr>
      <w:r>
        <w:rPr>
          <w:sz w:val="26"/>
        </w:rPr>
        <w:t>Внести изменение в реестр квалифицированных подрядных организаций, имеющих право принимать участие в электронных аукционах по предмету «Выполнение работ и (или) выполнения работ по капитальному ремонту общего имущества многоквартирных домов» в части изменения предельного размера обязательств ООО «</w:t>
      </w:r>
      <w:r>
        <w:rPr>
          <w:sz w:val="26"/>
        </w:rPr>
        <w:t>К5</w:t>
      </w:r>
      <w:r>
        <w:rPr>
          <w:sz w:val="26"/>
        </w:rPr>
        <w:t>»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ООО «</w:t>
      </w:r>
      <w:r>
        <w:rPr>
          <w:sz w:val="26"/>
        </w:rPr>
        <w:t>К5</w:t>
      </w:r>
      <w:r>
        <w:rPr>
          <w:sz w:val="26"/>
        </w:rPr>
        <w:t>», как член соответствующей саморегулируемой организации, внес взнос в компенсационный фонд обеспечения договорных обязательств до 500 000 000,00 руб.</w:t>
      </w:r>
    </w:p>
    <w:p w14:paraId="47000000">
      <w:pPr>
        <w:ind w:firstLine="708" w:left="0" w:right="0"/>
        <w:jc w:val="both"/>
        <w:rPr>
          <w:sz w:val="26"/>
        </w:rPr>
      </w:pPr>
    </w:p>
    <w:p w14:paraId="48000000">
      <w:pPr>
        <w:ind/>
        <w:jc w:val="both"/>
      </w:pPr>
      <w:r>
        <w:rPr>
          <w:sz w:val="26"/>
        </w:rPr>
        <w:t>---------------------------------------------------------------------------------------------------------------</w:t>
      </w:r>
    </w:p>
    <w:p w14:paraId="49000000">
      <w:pPr>
        <w:ind w:firstLine="709" w:left="0" w:right="0"/>
        <w:jc w:val="both"/>
      </w:pPr>
      <w:r>
        <w:rPr>
          <w:sz w:val="26"/>
        </w:rPr>
        <w:t>1. Рассмотрение обращения общество с ограниченной ответственностью «</w:t>
      </w:r>
      <w:r>
        <w:rPr>
          <w:sz w:val="26"/>
        </w:rPr>
        <w:t>Мосрегионлифт</w:t>
      </w:r>
      <w:r>
        <w:rPr>
          <w:sz w:val="26"/>
        </w:rPr>
        <w:t>» (далее – ООО «</w:t>
      </w:r>
      <w:r>
        <w:rPr>
          <w:sz w:val="26"/>
        </w:rPr>
        <w:t>Мосрегионлифт</w:t>
      </w:r>
      <w:r>
        <w:rPr>
          <w:sz w:val="26"/>
        </w:rPr>
        <w:t>») об изменении сведений о подрядной организации, содержащихся в реестре квалифицированных подрядных организаций, в части изменения предельного размера по договорам подряда, заключенным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14:paraId="4A000000">
      <w:pPr>
        <w:ind/>
        <w:jc w:val="both"/>
      </w:pPr>
      <w:r>
        <w:t>---------------------------------------------------------------------------------------------------------------</w:t>
      </w: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69"/>
        <w:gridCol w:w="2410"/>
        <w:gridCol w:w="3544"/>
      </w:tblGrid>
      <w:tr>
        <w:trPr>
          <w:trHeight w:hRule="atLeast" w:val="1046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00000">
            <w:pPr>
              <w:ind/>
              <w:jc w:val="center"/>
            </w:pPr>
            <w:r>
              <w:rPr>
                <w:sz w:val="26"/>
              </w:rPr>
              <w:t>ООО «</w:t>
            </w:r>
            <w:r>
              <w:rPr>
                <w:sz w:val="26"/>
              </w:rPr>
              <w:t>Мосрегионлифт</w:t>
            </w:r>
            <w:r>
              <w:rPr>
                <w:sz w:val="26"/>
              </w:rPr>
              <w:t>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00000">
            <w:pPr>
              <w:pStyle w:val="Style_4"/>
              <w:ind w:firstLine="708" w:left="0" w:right="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7705722209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00000">
            <w:pPr>
              <w:pStyle w:val="Style_4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119270, Российская Федерация, г. Москва</w:t>
            </w:r>
            <w:r>
              <w:rPr>
                <w:sz w:val="26"/>
              </w:rPr>
              <w:t>, ЛУЖНЕЦКАЯ, ДОМ 6,СТРОЕНИЕ 1, ОФИС 201</w:t>
            </w:r>
          </w:p>
          <w:p w14:paraId="51000000">
            <w:pPr>
              <w:pStyle w:val="Style_4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/ </w:t>
            </w:r>
            <w:r>
              <w:rPr>
                <w:sz w:val="26"/>
              </w:rPr>
              <w:t>74951200484</w:t>
            </w:r>
            <w:r>
              <w:rPr>
                <w:sz w:val="26"/>
              </w:rPr>
              <w:t xml:space="preserve">/ </w:t>
            </w:r>
          </w:p>
          <w:p w14:paraId="52000000">
            <w:pPr>
              <w:pStyle w:val="Style_4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mosreglift@gmail.com</w:t>
            </w:r>
          </w:p>
        </w:tc>
      </w:tr>
    </w:tbl>
    <w:p w14:paraId="53000000">
      <w:pPr>
        <w:ind w:firstLine="708" w:left="0" w:right="0"/>
        <w:jc w:val="both"/>
        <w:rPr>
          <w:sz w:val="28"/>
        </w:rPr>
      </w:pPr>
    </w:p>
    <w:p w14:paraId="54000000">
      <w:pPr>
        <w:ind w:firstLine="708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sz w:val="26"/>
        </w:rPr>
        <w:t>ООО «</w:t>
      </w:r>
      <w:r>
        <w:rPr>
          <w:sz w:val="26"/>
        </w:rPr>
        <w:t>Мосрегионлифт</w:t>
      </w:r>
      <w:r>
        <w:rPr>
          <w:sz w:val="26"/>
        </w:rPr>
        <w:t>»</w:t>
      </w:r>
      <w:r>
        <w:rPr>
          <w:sz w:val="26"/>
        </w:rPr>
        <w:t xml:space="preserve"> включено в реестр квалифицированных подрядных организаций, имеющих право принимать участие в электронных аукционах по предм</w:t>
      </w:r>
      <w:r>
        <w:rPr>
          <w:rFonts w:ascii="Times New Roman" w:hAnsi="Times New Roman"/>
          <w:color w:val="000000"/>
          <w:sz w:val="26"/>
        </w:rPr>
        <w:t>ету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«</w:t>
      </w:r>
      <w:r>
        <w:rPr>
          <w:rFonts w:ascii="Times New Roman" w:hAnsi="Times New Roman"/>
          <w:color w:val="000000"/>
          <w:sz w:val="26"/>
        </w:rPr>
        <w:t>Выполнение работ и (или) оказание услуг по оценке технического состояния, разработке проектной документации на проведение капитального ремонта общего имущества многоквартирных домов, в том числе по ремонту (замене, модернизации) лифтов</w:t>
      </w:r>
      <w:r>
        <w:rPr>
          <w:rFonts w:ascii="Times New Roman" w:hAnsi="Times New Roman"/>
          <w:color w:val="000000"/>
          <w:sz w:val="26"/>
        </w:rPr>
        <w:t>» (номер реестровой зап</w:t>
      </w:r>
      <w:r>
        <w:rPr>
          <w:rFonts w:ascii="Times New Roman" w:hAnsi="Times New Roman"/>
          <w:color w:val="000000"/>
          <w:sz w:val="26"/>
        </w:rPr>
        <w:t>иси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00770572220920220003</w:t>
      </w:r>
      <w:r>
        <w:rPr>
          <w:rFonts w:ascii="Times New Roman" w:hAnsi="Times New Roman"/>
          <w:color w:val="000000"/>
          <w:sz w:val="26"/>
        </w:rPr>
        <w:t>)</w:t>
      </w:r>
      <w:r>
        <w:rPr>
          <w:rFonts w:ascii="Times New Roman" w:hAnsi="Times New Roman"/>
          <w:color w:val="000000"/>
          <w:sz w:val="26"/>
        </w:rPr>
        <w:t xml:space="preserve">. </w:t>
      </w:r>
    </w:p>
    <w:p w14:paraId="55000000">
      <w:pPr>
        <w:ind w:firstLine="708" w:left="0" w:right="0"/>
        <w:jc w:val="both"/>
      </w:pPr>
      <w:r>
        <w:rPr>
          <w:sz w:val="26"/>
        </w:rPr>
        <w:t xml:space="preserve">Предельный размер обязательств </w:t>
      </w:r>
      <w:r>
        <w:rPr>
          <w:sz w:val="26"/>
        </w:rPr>
        <w:t>ООО «</w:t>
      </w:r>
      <w:r>
        <w:rPr>
          <w:sz w:val="26"/>
        </w:rPr>
        <w:t>Мосрегионлифт</w:t>
      </w:r>
      <w:r>
        <w:rPr>
          <w:sz w:val="26"/>
        </w:rPr>
        <w:t>»</w:t>
      </w:r>
      <w:r>
        <w:rPr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Мосрегионлифт</w:t>
      </w:r>
      <w:r>
        <w:rPr>
          <w:sz w:val="26"/>
        </w:rPr>
        <w:t>»</w:t>
      </w:r>
      <w:r>
        <w:rPr>
          <w:sz w:val="26"/>
        </w:rPr>
        <w:t>, как член соответствующей саморегулируемой организации, внесло взнос в компенсационный фонд обеспечения договорных обязательств, составлял 50 000 000 руб.</w:t>
      </w:r>
    </w:p>
    <w:p w14:paraId="56000000">
      <w:pPr>
        <w:ind w:firstLine="708" w:left="0" w:right="0"/>
        <w:jc w:val="both"/>
      </w:pPr>
      <w:r>
        <w:rPr>
          <w:sz w:val="26"/>
        </w:rPr>
        <w:t xml:space="preserve">Согласно информации, представленной </w:t>
      </w:r>
      <w:r>
        <w:rPr>
          <w:sz w:val="26"/>
        </w:rPr>
        <w:t>ООО «</w:t>
      </w:r>
      <w:r>
        <w:rPr>
          <w:sz w:val="26"/>
        </w:rPr>
        <w:t>Мосрегионлифт</w:t>
      </w:r>
      <w:r>
        <w:rPr>
          <w:sz w:val="26"/>
        </w:rPr>
        <w:t>»</w:t>
      </w:r>
      <w:r>
        <w:rPr>
          <w:sz w:val="26"/>
        </w:rPr>
        <w:t xml:space="preserve"> в соответствии с абзацем вторым пункта 69 Положения, утвержденного постановлением Правительства Российской Федерации от 01.07.2016 № 615, предельный размер обязательств </w:t>
      </w:r>
      <w:r>
        <w:br/>
      </w:r>
      <w:r>
        <w:rPr>
          <w:sz w:val="26"/>
        </w:rPr>
        <w:t>ООО «</w:t>
      </w:r>
      <w:r>
        <w:rPr>
          <w:sz w:val="26"/>
        </w:rPr>
        <w:t>Мосрегионлифт</w:t>
      </w:r>
      <w:r>
        <w:rPr>
          <w:sz w:val="26"/>
        </w:rPr>
        <w:t>»</w:t>
      </w:r>
      <w:r>
        <w:rPr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Мосрегионлифт</w:t>
      </w:r>
      <w:r>
        <w:rPr>
          <w:sz w:val="26"/>
        </w:rPr>
        <w:t>»</w:t>
      </w:r>
      <w:r>
        <w:rPr>
          <w:sz w:val="26"/>
        </w:rPr>
        <w:t>, как член соответствующей саморегулируемой, организации внесло взнос в компенсационный фонд обеспечения договорных обязательств, увеличился до 300 000 000 руб.</w:t>
      </w:r>
    </w:p>
    <w:p w14:paraId="57000000">
      <w:pPr>
        <w:ind w:firstLine="708" w:left="0" w:right="0"/>
        <w:jc w:val="both"/>
        <w:rPr>
          <w:sz w:val="26"/>
        </w:rPr>
      </w:pPr>
    </w:p>
    <w:p w14:paraId="58000000">
      <w:pPr>
        <w:ind w:firstLine="708" w:left="0" w:right="0"/>
        <w:jc w:val="both"/>
        <w:rPr>
          <w:sz w:val="26"/>
        </w:rPr>
      </w:pPr>
    </w:p>
    <w:p w14:paraId="59000000">
      <w:pPr>
        <w:ind w:firstLine="708" w:left="0" w:right="0"/>
        <w:jc w:val="both"/>
        <w:rPr>
          <w:sz w:val="26"/>
        </w:rPr>
      </w:pPr>
    </w:p>
    <w:p w14:paraId="5A000000">
      <w:pPr>
        <w:ind w:firstLine="708" w:left="0" w:right="0"/>
        <w:jc w:val="both"/>
      </w:pPr>
      <w:r>
        <w:rPr>
          <w:sz w:val="26"/>
        </w:rPr>
        <w:t>РЕШЕНИЕ:</w:t>
      </w:r>
    </w:p>
    <w:p w14:paraId="5B000000">
      <w:pPr>
        <w:ind w:firstLine="708" w:left="0" w:right="0"/>
        <w:jc w:val="both"/>
      </w:pPr>
      <w:r>
        <w:rPr>
          <w:sz w:val="26"/>
        </w:rPr>
        <w:t>Внести изменение в реестр квалифицированных подрядных организаций, имеющих право принимать участие в электронных аукционах по предм</w:t>
      </w:r>
      <w:r>
        <w:rPr>
          <w:rFonts w:ascii="Times New Roman" w:hAnsi="Times New Roman"/>
          <w:color w:val="000000"/>
          <w:sz w:val="26"/>
        </w:rPr>
        <w:t>ету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«</w:t>
      </w:r>
      <w:r>
        <w:rPr>
          <w:rFonts w:ascii="Times New Roman" w:hAnsi="Times New Roman"/>
          <w:color w:val="000000"/>
          <w:sz w:val="26"/>
        </w:rPr>
        <w:t>Выполнение работ и (или) оказание услуг по оценке технического состояния, разработке проектной документации на проведение капитального ремонта общего имущества многоквартирных домов, в том числе по ремонту (замене, модернизации) лифтов</w:t>
      </w:r>
      <w:r>
        <w:rPr>
          <w:rFonts w:ascii="Times New Roman" w:hAnsi="Times New Roman"/>
          <w:color w:val="000000"/>
          <w:sz w:val="26"/>
        </w:rPr>
        <w:t>» в</w:t>
      </w:r>
      <w:r>
        <w:rPr>
          <w:rFonts w:ascii="Times New Roman" w:hAnsi="Times New Roman"/>
          <w:color w:val="000000"/>
          <w:sz w:val="26"/>
        </w:rPr>
        <w:t xml:space="preserve"> части изменения предельного размера обязательств </w:t>
      </w:r>
      <w:r>
        <w:rPr>
          <w:rFonts w:ascii="Times New Roman" w:hAnsi="Times New Roman"/>
          <w:color w:val="000000"/>
          <w:sz w:val="26"/>
        </w:rPr>
        <w:t>ООО «</w:t>
      </w:r>
      <w:r>
        <w:rPr>
          <w:rFonts w:ascii="Times New Roman" w:hAnsi="Times New Roman"/>
          <w:color w:val="000000"/>
          <w:sz w:val="26"/>
        </w:rPr>
        <w:t>Мосрегионлифт</w:t>
      </w:r>
      <w:r>
        <w:rPr>
          <w:rFonts w:ascii="Times New Roman" w:hAnsi="Times New Roman"/>
          <w:color w:val="000000"/>
          <w:sz w:val="26"/>
        </w:rPr>
        <w:t>»</w:t>
      </w:r>
      <w:r>
        <w:rPr>
          <w:rFonts w:ascii="Times New Roman" w:hAnsi="Times New Roman"/>
          <w:color w:val="000000"/>
          <w:sz w:val="26"/>
        </w:rPr>
        <w:t xml:space="preserve"> по обязательствам по договорам строительного подряда, заклю</w:t>
      </w:r>
      <w:r>
        <w:rPr>
          <w:sz w:val="26"/>
        </w:rPr>
        <w:t xml:space="preserve">чаемым с использованием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Мосрегионлифт</w:t>
      </w:r>
      <w:r>
        <w:rPr>
          <w:sz w:val="26"/>
        </w:rPr>
        <w:t>»</w:t>
      </w:r>
      <w:r>
        <w:rPr>
          <w:sz w:val="26"/>
        </w:rPr>
        <w:t>, как член соответствующей саморегулируемой организации, внес взнос в компенсационный фонд обеспечения договорных обязательств до 300 000 000 руб</w:t>
      </w:r>
      <w:r>
        <w:rPr>
          <w:sz w:val="26"/>
        </w:rPr>
        <w:t>.</w:t>
      </w:r>
    </w:p>
    <w:p w14:paraId="5C000000">
      <w:pPr>
        <w:pStyle w:val="Style_3"/>
        <w:ind w:firstLine="708" w:left="0" w:right="0"/>
        <w:jc w:val="both"/>
      </w:pPr>
    </w:p>
    <w:p w14:paraId="5D000000">
      <w:pPr>
        <w:pStyle w:val="Style_3"/>
        <w:ind w:firstLine="708" w:left="0" w:right="0"/>
        <w:jc w:val="both"/>
      </w:pPr>
    </w:p>
    <w:p w14:paraId="5E000000">
      <w:pPr>
        <w:pStyle w:val="Style_3"/>
        <w:ind w:firstLine="708" w:left="0" w:right="0"/>
        <w:jc w:val="both"/>
      </w:pPr>
      <w:r>
        <w:rPr>
          <w:rFonts w:ascii="Times New Roman" w:hAnsi="Times New Roman"/>
          <w:sz w:val="26"/>
        </w:rPr>
        <w:t>Публикация и хранение протокола:</w:t>
      </w:r>
    </w:p>
    <w:p w14:paraId="5F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Настоящий протокол подлежит размещению на сайтах: </w:t>
      </w:r>
    </w:p>
    <w:p w14:paraId="60000000">
      <w:pPr>
        <w:pStyle w:val="Style_3"/>
        <w:ind w:firstLine="709" w:left="0" w:right="0"/>
        <w:jc w:val="both"/>
      </w:pPr>
      <w:r>
        <w:rPr>
          <w:rStyle w:val="Style_5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</w:rPr>
        <w:instrText>HYPERLINK "http://www.kamgov.ru/minzkh/predvaritelnyj-otbor-podradnyh-organizacij"</w:instrText>
      </w:r>
      <w:r>
        <w:rPr>
          <w:rStyle w:val="Style_5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</w:rPr>
        <w:t>http://www.kamgov.ru/minzkh/predvaritelnyj-otbor-podradnyh-organizacij</w:t>
      </w:r>
      <w:r>
        <w:rPr>
          <w:rStyle w:val="Style_5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>;</w:t>
      </w:r>
    </w:p>
    <w:p w14:paraId="61000000">
      <w:pPr>
        <w:pStyle w:val="Style_3"/>
        <w:ind w:firstLine="709" w:left="0" w:right="0"/>
        <w:jc w:val="both"/>
      </w:pPr>
      <w:r>
        <w:rPr>
          <w:rStyle w:val="Style_5_ch"/>
          <w:rFonts w:ascii="Times New Roman" w:hAnsi="Times New Roman"/>
          <w:sz w:val="26"/>
        </w:rPr>
        <w:fldChar w:fldCharType="begin"/>
      </w:r>
      <w:r>
        <w:rPr>
          <w:rStyle w:val="Style_5_ch"/>
          <w:rFonts w:ascii="Times New Roman" w:hAnsi="Times New Roman"/>
          <w:sz w:val="26"/>
        </w:rPr>
        <w:instrText>HYPERLINK "http://rts-tender.ru/"</w:instrText>
      </w:r>
      <w:r>
        <w:rPr>
          <w:rStyle w:val="Style_5_ch"/>
          <w:rFonts w:ascii="Times New Roman" w:hAnsi="Times New Roman"/>
          <w:sz w:val="26"/>
        </w:rPr>
        <w:fldChar w:fldCharType="separate"/>
      </w:r>
      <w:r>
        <w:rPr>
          <w:rStyle w:val="Style_5_ch"/>
          <w:rFonts w:ascii="Times New Roman" w:hAnsi="Times New Roman"/>
          <w:sz w:val="26"/>
        </w:rPr>
        <w:t>http://</w:t>
      </w:r>
      <w:r>
        <w:rPr>
          <w:rStyle w:val="Style_5_ch"/>
          <w:rFonts w:ascii="Times New Roman" w:hAnsi="Times New Roman"/>
          <w:sz w:val="26"/>
        </w:rPr>
        <w:t>rts</w:t>
      </w:r>
      <w:r>
        <w:rPr>
          <w:rStyle w:val="Style_5_ch"/>
          <w:rFonts w:ascii="Times New Roman" w:hAnsi="Times New Roman"/>
          <w:sz w:val="26"/>
        </w:rPr>
        <w:t>-</w:t>
      </w:r>
      <w:r>
        <w:rPr>
          <w:rStyle w:val="Style_5_ch"/>
          <w:rFonts w:ascii="Times New Roman" w:hAnsi="Times New Roman"/>
          <w:sz w:val="26"/>
        </w:rPr>
        <w:t>tender</w:t>
      </w:r>
      <w:r>
        <w:rPr>
          <w:rStyle w:val="Style_5_ch"/>
          <w:rFonts w:ascii="Times New Roman" w:hAnsi="Times New Roman"/>
          <w:sz w:val="26"/>
        </w:rPr>
        <w:t>.</w:t>
      </w:r>
      <w:r>
        <w:rPr>
          <w:rStyle w:val="Style_5_ch"/>
          <w:rFonts w:ascii="Times New Roman" w:hAnsi="Times New Roman"/>
          <w:sz w:val="26"/>
        </w:rPr>
        <w:t>ru</w:t>
      </w:r>
      <w:r>
        <w:rPr>
          <w:rStyle w:val="Style_5_ch"/>
          <w:rFonts w:ascii="Times New Roman" w:hAnsi="Times New Roman"/>
          <w:sz w:val="26"/>
        </w:rPr>
        <w:t>/</w:t>
      </w:r>
      <w:r>
        <w:rPr>
          <w:rStyle w:val="Style_5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  </w:t>
      </w:r>
    </w:p>
    <w:p w14:paraId="62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Настоящий протокол хранится в порядке и в сроки, установленные </w:t>
      </w:r>
      <w:r>
        <w:rPr>
          <w:rStyle w:val="Style_5_ch"/>
          <w:rFonts w:ascii="Times New Roman" w:hAnsi="Times New Roman"/>
          <w:sz w:val="26"/>
        </w:rPr>
        <w:fldChar w:fldCharType="begin"/>
      </w:r>
      <w:r>
        <w:rPr>
          <w:rStyle w:val="Style_5_ch"/>
          <w:rFonts w:ascii="Times New Roman" w:hAnsi="Times New Roman"/>
          <w:sz w:val="26"/>
        </w:rPr>
        <w:instrText>HYPERLINK "consultantplus://offline/ref=F14ACA1E7735E5367D886FAD5483060136B42B0C498A2E3E41C2EA984ADBA7E4C63CCE5F0FB4B39645VCB"</w:instrText>
      </w:r>
      <w:r>
        <w:rPr>
          <w:rStyle w:val="Style_5_ch"/>
          <w:rFonts w:ascii="Times New Roman" w:hAnsi="Times New Roman"/>
          <w:sz w:val="26"/>
        </w:rPr>
        <w:fldChar w:fldCharType="separate"/>
      </w:r>
      <w:r>
        <w:rPr>
          <w:rStyle w:val="Style_5_ch"/>
          <w:rFonts w:ascii="Times New Roman" w:hAnsi="Times New Roman"/>
          <w:sz w:val="26"/>
        </w:rPr>
        <w:t>Положением</w:t>
      </w:r>
      <w:r>
        <w:rPr>
          <w:rStyle w:val="Style_5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 от 01.07.2016 № 615.</w:t>
      </w:r>
    </w:p>
    <w:p w14:paraId="63000000">
      <w:pPr>
        <w:pStyle w:val="Style_3"/>
        <w:rPr>
          <w:rFonts w:ascii="Times New Roman" w:hAnsi="Times New Roman"/>
          <w:sz w:val="26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8"/>
        <w:gridCol w:w="5068"/>
      </w:tblGrid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</w:rPr>
              <w:t>Председател</w:t>
            </w:r>
            <w:r>
              <w:rPr>
                <w:rFonts w:ascii="Times New Roman" w:hAnsi="Times New Roman"/>
                <w:sz w:val="26"/>
              </w:rPr>
              <w:t>я</w:t>
            </w:r>
            <w:r>
              <w:rPr>
                <w:rFonts w:ascii="Times New Roman" w:hAnsi="Times New Roman"/>
                <w:sz w:val="26"/>
              </w:rPr>
              <w:t xml:space="preserve"> комиссии</w:t>
            </w:r>
          </w:p>
          <w:p w14:paraId="65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66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Попова Елена Николаевна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3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68000000">
            <w:pPr>
              <w:pStyle w:val="Style_3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69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6B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3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Андросов Валерий Николаевич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00000">
            <w:r>
              <w:t>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Ларкин Александр Сергеевич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00000">
            <w:r>
              <w:t>________________________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Макарова Анастасия Петровна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r>
              <w:t>________________________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74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75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Лозицкий Виктор Васильевич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00000">
            <w:pPr>
              <w:rPr>
                <w:sz w:val="26"/>
              </w:rPr>
            </w:pPr>
          </w:p>
          <w:p w14:paraId="77000000">
            <w:r>
              <w:t xml:space="preserve"> </w:t>
            </w:r>
          </w:p>
          <w:p w14:paraId="78000000">
            <w:r>
              <w:t>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Ющенко Анастасия Михайловна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/>
          <w:p w14:paraId="7B000000"/>
          <w:p w14:paraId="7C000000">
            <w:r>
              <w:t>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pPr>
              <w:pStyle w:val="Style_1"/>
              <w:rPr>
                <w:rFonts w:ascii="Times New Roman" w:hAnsi="Times New Roman"/>
                <w:sz w:val="26"/>
              </w:rPr>
            </w:pPr>
          </w:p>
          <w:p w14:paraId="7E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Секретарь комиссии:</w:t>
            </w:r>
          </w:p>
          <w:p w14:paraId="7F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Панихина Марина Ивановна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</w:tbl>
    <w:p w14:paraId="81000000">
      <w:pPr>
        <w:ind/>
        <w:jc w:val="both"/>
      </w:pPr>
    </w:p>
    <w:p w14:paraId="82000000">
      <w:pPr>
        <w:pStyle w:val="Style_3"/>
        <w:rPr>
          <w:rFonts w:ascii="Times New Roman" w:hAnsi="Times New Roman"/>
        </w:rPr>
      </w:pPr>
    </w:p>
    <w:sectPr>
      <w:pgSz w:h="16838" w:orient="portrait" w:w="11906"/>
      <w:pgMar w:bottom="993" w:footer="708" w:header="708" w:left="1134" w:right="567" w:top="113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5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80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4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79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3" w:type="paragraph">
    <w:name w:val="ConsPlusNormal"/>
    <w:link w:val="Style_3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3_ch" w:type="character">
    <w:name w:val="ConsPlusNormal"/>
    <w:link w:val="Style_3"/>
    <w:rPr>
      <w:rFonts w:ascii="Arial" w:hAnsi="Arial"/>
      <w:color w:val="000000"/>
      <w:sz w:val="20"/>
    </w:rPr>
  </w:style>
  <w:style w:styleId="Style_6" w:type="paragraph">
    <w:name w:val="WW8Num29z0"/>
    <w:link w:val="Style_6_ch"/>
  </w:style>
  <w:style w:styleId="Style_6_ch" w:type="character">
    <w:name w:val="WW8Num29z0"/>
    <w:link w:val="Style_6"/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List"/>
    <w:basedOn w:val="Style_10"/>
    <w:link w:val="Style_9_ch"/>
  </w:style>
  <w:style w:styleId="Style_9_ch" w:type="character">
    <w:name w:val="List"/>
    <w:basedOn w:val="Style_10_ch"/>
    <w:link w:val="Style_9"/>
  </w:style>
  <w:style w:styleId="Style_11" w:type="paragraph">
    <w:name w:val="Без интервала"/>
    <w:link w:val="Style_11_ch"/>
    <w:pPr>
      <w:widowControl w:val="1"/>
      <w:ind/>
    </w:pPr>
    <w:rPr>
      <w:rFonts w:ascii="Calibri" w:hAnsi="Calibri"/>
      <w:color w:val="000000"/>
      <w:sz w:val="22"/>
    </w:rPr>
  </w:style>
  <w:style w:styleId="Style_11_ch" w:type="character">
    <w:name w:val="Без интервала"/>
    <w:link w:val="Style_11"/>
    <w:rPr>
      <w:rFonts w:ascii="Calibri" w:hAnsi="Calibri"/>
      <w:color w:val="000000"/>
      <w:sz w:val="22"/>
    </w:rPr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numPr>
        <w:ilvl w:val="2"/>
        <w:numId w:val="1"/>
      </w:numPr>
      <w:ind/>
      <w:outlineLvl w:val="2"/>
    </w:pPr>
  </w:style>
  <w:style w:styleId="Style_14_ch" w:type="character">
    <w:name w:val="heading 3"/>
    <w:basedOn w:val="Style_4_ch"/>
    <w:link w:val="Style_14"/>
  </w:style>
  <w:style w:styleId="Style_15" w:type="paragraph">
    <w:name w:val="WW8Num2z0"/>
    <w:link w:val="Style_15_ch"/>
  </w:style>
  <w:style w:styleId="Style_15_ch" w:type="character">
    <w:name w:val="WW8Num2z0"/>
    <w:link w:val="Style_15"/>
  </w:style>
  <w:style w:styleId="Style_16" w:type="paragraph">
    <w:name w:val="Default"/>
    <w:link w:val="Style_16_ch"/>
    <w:pPr>
      <w:widowControl w:val="0"/>
      <w:ind/>
    </w:pPr>
    <w:rPr>
      <w:rFonts w:ascii="Times New Roman" w:hAnsi="Times New Roman"/>
      <w:color w:val="000000"/>
      <w:sz w:val="24"/>
    </w:rPr>
  </w:style>
  <w:style w:styleId="Style_16_ch" w:type="character">
    <w:name w:val="Default"/>
    <w:link w:val="Style_16"/>
    <w:rPr>
      <w:rFonts w:ascii="Times New Roman" w:hAnsi="Times New Roman"/>
      <w:color w:val="000000"/>
      <w:sz w:val="24"/>
    </w:rPr>
  </w:style>
  <w:style w:styleId="Style_17" w:type="paragraph">
    <w:name w:val="page number"/>
    <w:link w:val="Style_17_ch"/>
    <w:rPr>
      <w:rFonts w:ascii="Times New Roman" w:hAnsi="Times New Roman"/>
    </w:rPr>
  </w:style>
  <w:style w:styleId="Style_17_ch" w:type="character">
    <w:name w:val="page number"/>
    <w:link w:val="Style_17"/>
    <w:rPr>
      <w:rFonts w:ascii="Times New Roman" w:hAnsi="Times New Roman"/>
    </w:rPr>
  </w:style>
  <w:style w:styleId="Style_18" w:type="paragraph">
    <w:name w:val="WW8Num3z0"/>
    <w:link w:val="Style_18_ch"/>
  </w:style>
  <w:style w:styleId="Style_18_ch" w:type="character">
    <w:name w:val="WW8Num3z0"/>
    <w:link w:val="Style_18"/>
  </w:style>
  <w:style w:styleId="Style_19" w:type="paragraph">
    <w:name w:val="Заголовок таблицы"/>
    <w:basedOn w:val="Style_20"/>
    <w:link w:val="Style_19_ch"/>
    <w:pPr>
      <w:ind/>
      <w:jc w:val="center"/>
    </w:pPr>
    <w:rPr>
      <w:b w:val="1"/>
    </w:rPr>
  </w:style>
  <w:style w:styleId="Style_19_ch" w:type="character">
    <w:name w:val="Заголовок таблицы"/>
    <w:basedOn w:val="Style_20_ch"/>
    <w:link w:val="Style_19"/>
    <w:rPr>
      <w:b w:val="1"/>
    </w:rPr>
  </w:style>
  <w:style w:styleId="Style_21" w:type="paragraph">
    <w:name w:val="CM5"/>
    <w:basedOn w:val="Style_4"/>
    <w:next w:val="Style_4"/>
    <w:link w:val="Style_21_ch"/>
    <w:pPr>
      <w:widowControl w:val="0"/>
      <w:spacing w:line="260" w:lineRule="atLeast"/>
      <w:ind/>
    </w:pPr>
  </w:style>
  <w:style w:styleId="Style_21_ch" w:type="character">
    <w:name w:val="CM5"/>
    <w:basedOn w:val="Style_4_ch"/>
    <w:link w:val="Style_21"/>
  </w:style>
  <w:style w:styleId="Style_22" w:type="paragraph">
    <w:name w:val="WW8Num25z0"/>
    <w:link w:val="Style_22_ch"/>
  </w:style>
  <w:style w:styleId="Style_22_ch" w:type="character">
    <w:name w:val="WW8Num25z0"/>
    <w:link w:val="Style_22"/>
  </w:style>
  <w:style w:styleId="Style_23" w:type="paragraph">
    <w:name w:val="WW8Num24z0"/>
    <w:link w:val="Style_23_ch"/>
  </w:style>
  <w:style w:styleId="Style_23_ch" w:type="character">
    <w:name w:val="WW8Num24z0"/>
    <w:link w:val="Style_23"/>
  </w:style>
  <w:style w:styleId="Style_24" w:type="paragraph">
    <w:name w:val="WW8Num7z0"/>
    <w:link w:val="Style_24_ch"/>
  </w:style>
  <w:style w:styleId="Style_24_ch" w:type="character">
    <w:name w:val="WW8Num7z0"/>
    <w:link w:val="Style_24"/>
  </w:style>
  <w:style w:styleId="Style_25" w:type="paragraph">
    <w:name w:val="WW8Num22z0"/>
    <w:link w:val="Style_25_ch"/>
  </w:style>
  <w:style w:styleId="Style_25_ch" w:type="character">
    <w:name w:val="WW8Num22z0"/>
    <w:link w:val="Style_25"/>
  </w:style>
  <w:style w:styleId="Style_26" w:type="paragraph">
    <w:name w:val="WW8Num23z0"/>
    <w:link w:val="Style_26_ch"/>
  </w:style>
  <w:style w:styleId="Style_26_ch" w:type="character">
    <w:name w:val="WW8Num23z0"/>
    <w:link w:val="Style_26"/>
  </w:style>
  <w:style w:styleId="Style_27" w:type="paragraph">
    <w:name w:val="WW8Num11z0"/>
    <w:link w:val="Style_27_ch"/>
  </w:style>
  <w:style w:styleId="Style_27_ch" w:type="character">
    <w:name w:val="WW8Num11z0"/>
    <w:link w:val="Style_27"/>
  </w:style>
  <w:style w:styleId="Style_28" w:type="paragraph">
    <w:name w:val="WW8Num26z0"/>
    <w:link w:val="Style_28_ch"/>
  </w:style>
  <w:style w:styleId="Style_28_ch" w:type="character">
    <w:name w:val="WW8Num26z0"/>
    <w:link w:val="Style_28"/>
  </w:style>
  <w:style w:styleId="Style_29" w:type="paragraph">
    <w:name w:val="Указатель"/>
    <w:basedOn w:val="Style_4"/>
    <w:link w:val="Style_29_ch"/>
  </w:style>
  <w:style w:styleId="Style_29_ch" w:type="character">
    <w:name w:val="Указатель"/>
    <w:basedOn w:val="Style_4_ch"/>
    <w:link w:val="Style_29"/>
  </w:style>
  <w:style w:styleId="Style_30" w:type="paragraph">
    <w:name w:val="WW8Num15z0"/>
    <w:link w:val="Style_30_ch"/>
  </w:style>
  <w:style w:styleId="Style_30_ch" w:type="character">
    <w:name w:val="WW8Num15z0"/>
    <w:link w:val="Style_30"/>
  </w:style>
  <w:style w:styleId="Style_31" w:type="paragraph">
    <w:name w:val="Гипертекстовая ссылка"/>
    <w:link w:val="Style_31_ch"/>
    <w:rPr>
      <w:b w:val="1"/>
      <w:color w:val="008000"/>
    </w:rPr>
  </w:style>
  <w:style w:styleId="Style_31_ch" w:type="character">
    <w:name w:val="Гипертекстовая ссылка"/>
    <w:link w:val="Style_31"/>
    <w:rPr>
      <w:b w:val="1"/>
      <w:color w:val="008000"/>
    </w:rPr>
  </w:style>
  <w:style w:styleId="Style_32" w:type="paragraph">
    <w:name w:val="ConsPlusTitle"/>
    <w:link w:val="Style_32_ch"/>
    <w:pPr>
      <w:widowControl w:val="0"/>
      <w:ind/>
    </w:pPr>
    <w:rPr>
      <w:rFonts w:ascii="Arial" w:hAnsi="Arial"/>
      <w:b w:val="1"/>
      <w:color w:val="000000"/>
      <w:sz w:val="20"/>
    </w:rPr>
  </w:style>
  <w:style w:styleId="Style_32_ch" w:type="character">
    <w:name w:val="ConsPlusTitle"/>
    <w:link w:val="Style_32"/>
    <w:rPr>
      <w:rFonts w:ascii="Arial" w:hAnsi="Arial"/>
      <w:b w:val="1"/>
      <w:color w:val="000000"/>
      <w:sz w:val="20"/>
    </w:rPr>
  </w:style>
  <w:style w:styleId="Style_33" w:type="paragraph">
    <w:name w:val="WW8Num4z0"/>
    <w:link w:val="Style_33_ch"/>
  </w:style>
  <w:style w:styleId="Style_33_ch" w:type="character">
    <w:name w:val="WW8Num4z0"/>
    <w:link w:val="Style_33"/>
  </w:style>
  <w:style w:styleId="Style_34" w:type="paragraph">
    <w:name w:val="WW8Num14z0"/>
    <w:link w:val="Style_34_ch"/>
  </w:style>
  <w:style w:styleId="Style_34_ch" w:type="character">
    <w:name w:val="WW8Num14z0"/>
    <w:link w:val="Style_34"/>
  </w:style>
  <w:style w:styleId="Style_35" w:type="paragraph">
    <w:name w:val="CM8"/>
    <w:basedOn w:val="Style_16"/>
    <w:next w:val="Style_16"/>
    <w:link w:val="Style_35_ch"/>
    <w:pPr>
      <w:spacing w:line="263" w:lineRule="atLeast"/>
      <w:ind/>
    </w:pPr>
    <w:rPr>
      <w:color w:val="000000"/>
    </w:rPr>
  </w:style>
  <w:style w:styleId="Style_35_ch" w:type="character">
    <w:name w:val="CM8"/>
    <w:basedOn w:val="Style_16_ch"/>
    <w:link w:val="Style_35"/>
    <w:rPr>
      <w:color w:val="000000"/>
    </w:rPr>
  </w:style>
  <w:style w:styleId="Style_36" w:type="paragraph">
    <w:name w:val="WW8Num27z0"/>
    <w:link w:val="Style_36_ch"/>
  </w:style>
  <w:style w:styleId="Style_36_ch" w:type="character">
    <w:name w:val="WW8Num27z0"/>
    <w:link w:val="Style_36"/>
  </w:style>
  <w:style w:styleId="Style_37" w:type="paragraph">
    <w:name w:val="Заголовок"/>
    <w:basedOn w:val="Style_4"/>
    <w:next w:val="Style_10"/>
    <w:link w:val="Style_37_ch"/>
    <w:pPr>
      <w:ind/>
      <w:jc w:val="center"/>
    </w:pPr>
    <w:rPr>
      <w:b w:val="1"/>
      <w:sz w:val="28"/>
      <w:u w:val="single"/>
    </w:rPr>
  </w:style>
  <w:style w:styleId="Style_37_ch" w:type="character">
    <w:name w:val="Заголовок"/>
    <w:basedOn w:val="Style_4_ch"/>
    <w:link w:val="Style_37"/>
    <w:rPr>
      <w:b w:val="1"/>
      <w:sz w:val="28"/>
      <w:u w:val="single"/>
    </w:rPr>
  </w:style>
  <w:style w:styleId="Style_38" w:type="paragraph">
    <w:name w:val="WW8Num5z0"/>
    <w:link w:val="Style_38_ch"/>
  </w:style>
  <w:style w:styleId="Style_38_ch" w:type="character">
    <w:name w:val="WW8Num5z0"/>
    <w:link w:val="Style_38"/>
  </w:style>
  <w:style w:styleId="Style_39" w:type="paragraph">
    <w:name w:val="toc 3"/>
    <w:next w:val="Style_4"/>
    <w:link w:val="Style_3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WW8Num17z0"/>
    <w:link w:val="Style_40_ch"/>
  </w:style>
  <w:style w:styleId="Style_40_ch" w:type="character">
    <w:name w:val="WW8Num17z0"/>
    <w:link w:val="Style_40"/>
  </w:style>
  <w:style w:styleId="Style_41" w:type="paragraph">
    <w:name w:val="WW8Num1z0"/>
    <w:link w:val="Style_41_ch"/>
  </w:style>
  <w:style w:styleId="Style_41_ch" w:type="character">
    <w:name w:val="WW8Num1z0"/>
    <w:link w:val="Style_41"/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  <w:color w:val="000000"/>
      <w:sz w:val="20"/>
    </w:rPr>
  </w:style>
  <w:style w:styleId="Style_1_ch" w:type="character">
    <w:name w:val="ConsPlusNonformat"/>
    <w:link w:val="Style_1"/>
    <w:rPr>
      <w:rFonts w:ascii="Courier New" w:hAnsi="Courier New"/>
      <w:color w:val="000000"/>
      <w:sz w:val="20"/>
    </w:rPr>
  </w:style>
  <w:style w:styleId="Style_42" w:type="paragraph">
    <w:name w:val="WW8Num13z0"/>
    <w:link w:val="Style_42_ch"/>
  </w:style>
  <w:style w:styleId="Style_42_ch" w:type="character">
    <w:name w:val="WW8Num13z0"/>
    <w:link w:val="Style_42"/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heading 5"/>
    <w:next w:val="Style_4"/>
    <w:link w:val="Style_4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4_ch" w:type="character">
    <w:name w:val="heading 5"/>
    <w:link w:val="Style_44"/>
    <w:rPr>
      <w:rFonts w:ascii="XO Thames" w:hAnsi="XO Thames"/>
      <w:b w:val="1"/>
      <w:sz w:val="22"/>
    </w:rPr>
  </w:style>
  <w:style w:styleId="Style_45" w:type="paragraph">
    <w:name w:val="heading 1"/>
    <w:basedOn w:val="Style_4"/>
    <w:next w:val="Style_4"/>
    <w:link w:val="Style_45_ch"/>
    <w:uiPriority w:val="9"/>
    <w:qFormat/>
    <w:pPr>
      <w:keepNext w:val="1"/>
      <w:numPr>
        <w:ilvl w:val="0"/>
        <w:numId w:val="1"/>
      </w:numPr>
      <w:spacing w:after="360" w:before="360"/>
      <w:ind w:firstLine="0" w:left="0" w:right="-108"/>
      <w:outlineLvl w:val="0"/>
    </w:pPr>
  </w:style>
  <w:style w:styleId="Style_45_ch" w:type="character">
    <w:name w:val="heading 1"/>
    <w:basedOn w:val="Style_4_ch"/>
    <w:link w:val="Style_45"/>
  </w:style>
  <w:style w:styleId="Style_46" w:type="paragraph">
    <w:name w:val="FollowedHyperlink"/>
    <w:link w:val="Style_46_ch"/>
    <w:rPr>
      <w:color w:val="800080"/>
      <w:u w:val="single"/>
    </w:rPr>
  </w:style>
  <w:style w:styleId="Style_46_ch" w:type="character">
    <w:name w:val="FollowedHyperlink"/>
    <w:link w:val="Style_46"/>
    <w:rPr>
      <w:color w:val="800080"/>
      <w:u w:val="single"/>
    </w:rPr>
  </w:style>
  <w:style w:styleId="Style_5" w:type="paragraph">
    <w:name w:val="Hyperlink"/>
    <w:link w:val="Style_5_ch"/>
    <w:rPr>
      <w:strike w:val="0"/>
      <w:color w:val="0083C9"/>
      <w:u w:val="none"/>
    </w:rPr>
  </w:style>
  <w:style w:styleId="Style_5_ch" w:type="character">
    <w:name w:val="Hyperlink"/>
    <w:link w:val="Style_5"/>
    <w:rPr>
      <w:strike w:val="0"/>
      <w:color w:val="0083C9"/>
      <w:u w:val="none"/>
    </w:rPr>
  </w:style>
  <w:style w:styleId="Style_47" w:type="paragraph">
    <w:name w:val="Footnote"/>
    <w:link w:val="Style_47_ch"/>
    <w:pPr>
      <w:ind w:firstLine="851" w:left="0"/>
      <w:jc w:val="both"/>
    </w:pPr>
    <w:rPr>
      <w:rFonts w:ascii="XO Thames" w:hAnsi="XO Thames"/>
      <w:sz w:val="22"/>
    </w:rPr>
  </w:style>
  <w:style w:styleId="Style_47_ch" w:type="character">
    <w:name w:val="Footnote"/>
    <w:link w:val="Style_47"/>
    <w:rPr>
      <w:rFonts w:ascii="XO Thames" w:hAnsi="XO Thames"/>
      <w:sz w:val="22"/>
    </w:rPr>
  </w:style>
  <w:style w:styleId="Style_48" w:type="paragraph">
    <w:name w:val="toc 1"/>
    <w:next w:val="Style_4"/>
    <w:link w:val="Style_4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8_ch" w:type="character">
    <w:name w:val="toc 1"/>
    <w:link w:val="Style_48"/>
    <w:rPr>
      <w:rFonts w:ascii="XO Thames" w:hAnsi="XO Thames"/>
      <w:b w:val="1"/>
      <w:sz w:val="28"/>
    </w:rPr>
  </w:style>
  <w:style w:styleId="Style_49" w:type="paragraph">
    <w:name w:val="Основной шрифт абзаца"/>
    <w:link w:val="Style_49_ch"/>
  </w:style>
  <w:style w:styleId="Style_49_ch" w:type="character">
    <w:name w:val="Основной шрифт абзаца"/>
    <w:link w:val="Style_49"/>
  </w:style>
  <w:style w:styleId="Style_50" w:type="paragraph">
    <w:name w:val="notice-number3"/>
    <w:link w:val="Style_50_ch"/>
  </w:style>
  <w:style w:styleId="Style_50_ch" w:type="character">
    <w:name w:val="notice-number3"/>
    <w:link w:val="Style_50"/>
  </w:style>
  <w:style w:styleId="Style_51" w:type="paragraph">
    <w:name w:val="Header and Footer"/>
    <w:link w:val="Style_51_ch"/>
    <w:pPr>
      <w:spacing w:line="240" w:lineRule="auto"/>
      <w:ind/>
      <w:jc w:val="both"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WW8Num9z0"/>
    <w:link w:val="Style_52_ch"/>
  </w:style>
  <w:style w:styleId="Style_52_ch" w:type="character">
    <w:name w:val="WW8Num9z0"/>
    <w:link w:val="Style_52"/>
  </w:style>
  <w:style w:styleId="Style_53" w:type="paragraph">
    <w:name w:val="WW8Num10z0"/>
    <w:link w:val="Style_53_ch"/>
  </w:style>
  <w:style w:styleId="Style_53_ch" w:type="character">
    <w:name w:val="WW8Num10z0"/>
    <w:link w:val="Style_53"/>
  </w:style>
  <w:style w:styleId="Style_54" w:type="paragraph">
    <w:name w:val="WW8Num16z0"/>
    <w:link w:val="Style_54_ch"/>
  </w:style>
  <w:style w:styleId="Style_54_ch" w:type="character">
    <w:name w:val="WW8Num16z0"/>
    <w:link w:val="Style_54"/>
  </w:style>
  <w:style w:styleId="Style_55" w:type="paragraph">
    <w:name w:val="WW8Num28z0"/>
    <w:link w:val="Style_55_ch"/>
  </w:style>
  <w:style w:styleId="Style_55_ch" w:type="character">
    <w:name w:val="WW8Num28z0"/>
    <w:link w:val="Style_55"/>
  </w:style>
  <w:style w:styleId="Style_56" w:type="paragraph">
    <w:name w:val="toc 9"/>
    <w:next w:val="Style_4"/>
    <w:link w:val="Style_5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6_ch" w:type="character">
    <w:name w:val="toc 9"/>
    <w:link w:val="Style_56"/>
    <w:rPr>
      <w:rFonts w:ascii="XO Thames" w:hAnsi="XO Thames"/>
      <w:sz w:val="28"/>
    </w:rPr>
  </w:style>
  <w:style w:styleId="Style_57" w:type="paragraph">
    <w:name w:val="Strong"/>
    <w:link w:val="Style_57_ch"/>
    <w:rPr>
      <w:b w:val="1"/>
    </w:rPr>
  </w:style>
  <w:style w:styleId="Style_57_ch" w:type="character">
    <w:name w:val="Strong"/>
    <w:link w:val="Style_57"/>
    <w:rPr>
      <w:b w:val="1"/>
    </w:rPr>
  </w:style>
  <w:style w:styleId="Style_58" w:type="paragraph">
    <w:name w:val="Название Знак"/>
    <w:link w:val="Style_58_ch"/>
    <w:rPr>
      <w:b w:val="1"/>
      <w:sz w:val="28"/>
      <w:u w:val="single"/>
    </w:rPr>
  </w:style>
  <w:style w:styleId="Style_58_ch" w:type="character">
    <w:name w:val="Название Знак"/>
    <w:link w:val="Style_58"/>
    <w:rPr>
      <w:b w:val="1"/>
      <w:sz w:val="28"/>
      <w:u w:val="single"/>
    </w:rPr>
  </w:style>
  <w:style w:styleId="Style_59" w:type="paragraph">
    <w:name w:val="Знак"/>
    <w:basedOn w:val="Style_4"/>
    <w:link w:val="Style_59_ch"/>
    <w:pPr>
      <w:widowControl w:val="0"/>
      <w:spacing w:after="160" w:before="0" w:line="240" w:lineRule="exact"/>
      <w:ind/>
      <w:jc w:val="right"/>
    </w:pPr>
    <w:rPr>
      <w:sz w:val="20"/>
    </w:rPr>
  </w:style>
  <w:style w:styleId="Style_59_ch" w:type="character">
    <w:name w:val="Знак"/>
    <w:basedOn w:val="Style_4_ch"/>
    <w:link w:val="Style_59"/>
    <w:rPr>
      <w:sz w:val="20"/>
    </w:rPr>
  </w:style>
  <w:style w:styleId="Style_60" w:type="paragraph">
    <w:name w:val="Заголовок 4 Знак"/>
    <w:link w:val="Style_60_ch"/>
    <w:rPr>
      <w:rFonts w:ascii="Calibri" w:hAnsi="Calibri"/>
      <w:b w:val="1"/>
      <w:sz w:val="28"/>
    </w:rPr>
  </w:style>
  <w:style w:styleId="Style_60_ch" w:type="character">
    <w:name w:val="Заголовок 4 Знак"/>
    <w:link w:val="Style_60"/>
    <w:rPr>
      <w:rFonts w:ascii="Calibri" w:hAnsi="Calibri"/>
      <w:b w:val="1"/>
      <w:sz w:val="28"/>
    </w:rPr>
  </w:style>
  <w:style w:styleId="Style_61" w:type="paragraph">
    <w:name w:val="section__info"/>
    <w:link w:val="Style_61_ch"/>
  </w:style>
  <w:style w:styleId="Style_61_ch" w:type="character">
    <w:name w:val="section__info"/>
    <w:link w:val="Style_61"/>
  </w:style>
  <w:style w:styleId="Style_62" w:type="paragraph">
    <w:name w:val="toc 8"/>
    <w:next w:val="Style_4"/>
    <w:link w:val="Style_6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WW8Num12z0"/>
    <w:link w:val="Style_63_ch"/>
  </w:style>
  <w:style w:styleId="Style_63_ch" w:type="character">
    <w:name w:val="WW8Num12z0"/>
    <w:link w:val="Style_63"/>
  </w:style>
  <w:style w:styleId="Style_64" w:type="paragraph">
    <w:name w:val="es-el-code-term"/>
    <w:link w:val="Style_64_ch"/>
  </w:style>
  <w:style w:styleId="Style_64_ch" w:type="character">
    <w:name w:val="es-el-code-term"/>
    <w:link w:val="Style_64"/>
  </w:style>
  <w:style w:styleId="Style_65" w:type="paragraph">
    <w:name w:val="WW8Num8z0"/>
    <w:link w:val="Style_65_ch"/>
  </w:style>
  <w:style w:styleId="Style_65_ch" w:type="character">
    <w:name w:val="WW8Num8z0"/>
    <w:link w:val="Style_65"/>
  </w:style>
  <w:style w:styleId="Style_66" w:type="paragraph">
    <w:name w:val="toc 5"/>
    <w:next w:val="Style_4"/>
    <w:link w:val="Style_6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6_ch" w:type="character">
    <w:name w:val="toc 5"/>
    <w:link w:val="Style_66"/>
    <w:rPr>
      <w:rFonts w:ascii="XO Thames" w:hAnsi="XO Thames"/>
      <w:sz w:val="28"/>
    </w:rPr>
  </w:style>
  <w:style w:styleId="Style_67" w:type="paragraph">
    <w:name w:val="Заголовок №1 (2)2"/>
    <w:link w:val="Style_67_ch"/>
    <w:rPr>
      <w:b w:val="1"/>
      <w:spacing w:val="1"/>
      <w:sz w:val="25"/>
      <w:highlight w:val="white"/>
    </w:rPr>
  </w:style>
  <w:style w:styleId="Style_67_ch" w:type="character">
    <w:name w:val="Заголовок №1 (2)2"/>
    <w:link w:val="Style_67"/>
    <w:rPr>
      <w:b w:val="1"/>
      <w:spacing w:val="1"/>
      <w:sz w:val="25"/>
      <w:highlight w:val="white"/>
    </w:rPr>
  </w:style>
  <w:style w:styleId="Style_68" w:type="paragraph">
    <w:name w:val="WW8Num30z0"/>
    <w:link w:val="Style_68_ch"/>
  </w:style>
  <w:style w:styleId="Style_68_ch" w:type="character">
    <w:name w:val="WW8Num30z0"/>
    <w:link w:val="Style_68"/>
  </w:style>
  <w:style w:styleId="Style_69" w:type="paragraph">
    <w:name w:val="WW8Num6z0"/>
    <w:link w:val="Style_69_ch"/>
  </w:style>
  <w:style w:styleId="Style_69_ch" w:type="character">
    <w:name w:val="WW8Num6z0"/>
    <w:link w:val="Style_69"/>
  </w:style>
  <w:style w:styleId="Style_20" w:type="paragraph">
    <w:name w:val="Содержимое таблицы"/>
    <w:basedOn w:val="Style_4"/>
    <w:link w:val="Style_20_ch"/>
    <w:pPr>
      <w:widowControl w:val="0"/>
      <w:ind/>
    </w:pPr>
  </w:style>
  <w:style w:styleId="Style_20_ch" w:type="character">
    <w:name w:val="Содержимое таблицы"/>
    <w:basedOn w:val="Style_4_ch"/>
    <w:link w:val="Style_20"/>
  </w:style>
  <w:style w:styleId="Style_70" w:type="paragraph">
    <w:name w:val="WW8Num20z0"/>
    <w:link w:val="Style_70_ch"/>
  </w:style>
  <w:style w:styleId="Style_70_ch" w:type="character">
    <w:name w:val="WW8Num20z0"/>
    <w:link w:val="Style_70"/>
  </w:style>
  <w:style w:styleId="Style_71" w:type="paragraph">
    <w:name w:val="section__title"/>
    <w:link w:val="Style_71_ch"/>
  </w:style>
  <w:style w:styleId="Style_71_ch" w:type="character">
    <w:name w:val="section__title"/>
    <w:link w:val="Style_71"/>
  </w:style>
  <w:style w:styleId="Style_72" w:type="paragraph">
    <w:name w:val="Абзац списка"/>
    <w:basedOn w:val="Style_4"/>
    <w:link w:val="Style_72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72_ch" w:type="character">
    <w:name w:val="Абзац списка"/>
    <w:basedOn w:val="Style_4_ch"/>
    <w:link w:val="Style_72"/>
    <w:rPr>
      <w:rFonts w:ascii="Calibri" w:hAnsi="Calibri"/>
      <w:sz w:val="22"/>
    </w:rPr>
  </w:style>
  <w:style w:styleId="Style_73" w:type="paragraph">
    <w:name w:val="Текст выноски"/>
    <w:basedOn w:val="Style_4"/>
    <w:link w:val="Style_73_ch"/>
    <w:rPr>
      <w:rFonts w:ascii="Tahoma" w:hAnsi="Tahoma"/>
      <w:sz w:val="16"/>
    </w:rPr>
  </w:style>
  <w:style w:styleId="Style_73_ch" w:type="character">
    <w:name w:val="Текст выноски"/>
    <w:basedOn w:val="Style_4_ch"/>
    <w:link w:val="Style_73"/>
    <w:rPr>
      <w:rFonts w:ascii="Tahoma" w:hAnsi="Tahoma"/>
      <w:sz w:val="16"/>
    </w:rPr>
  </w:style>
  <w:style w:styleId="Style_74" w:type="paragraph">
    <w:name w:val="WW8Num19z0"/>
    <w:link w:val="Style_74_ch"/>
  </w:style>
  <w:style w:styleId="Style_74_ch" w:type="character">
    <w:name w:val="WW8Num19z0"/>
    <w:link w:val="Style_74"/>
  </w:style>
  <w:style w:styleId="Style_75" w:type="paragraph">
    <w:name w:val="Заголовок 3 Знак"/>
    <w:link w:val="Style_75_ch"/>
    <w:rPr>
      <w:sz w:val="24"/>
    </w:rPr>
  </w:style>
  <w:style w:styleId="Style_75_ch" w:type="character">
    <w:name w:val="Заголовок 3 Знак"/>
    <w:link w:val="Style_75"/>
    <w:rPr>
      <w:sz w:val="24"/>
    </w:rPr>
  </w:style>
  <w:style w:styleId="Style_76" w:type="paragraph">
    <w:name w:val="Subtitle"/>
    <w:next w:val="Style_4"/>
    <w:link w:val="Style_7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6_ch" w:type="character">
    <w:name w:val="Subtitle"/>
    <w:link w:val="Style_76"/>
    <w:rPr>
      <w:rFonts w:ascii="XO Thames" w:hAnsi="XO Thames"/>
      <w:i w:val="1"/>
      <w:sz w:val="24"/>
    </w:rPr>
  </w:style>
  <w:style w:styleId="Style_77" w:type="paragraph">
    <w:name w:val="WW8Num18z0"/>
    <w:link w:val="Style_77_ch"/>
  </w:style>
  <w:style w:styleId="Style_77_ch" w:type="character">
    <w:name w:val="WW8Num18z0"/>
    <w:link w:val="Style_77"/>
  </w:style>
  <w:style w:styleId="Style_78" w:type="paragraph">
    <w:name w:val="Title"/>
    <w:next w:val="Style_4"/>
    <w:link w:val="Style_7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8_ch" w:type="character">
    <w:name w:val="Title"/>
    <w:link w:val="Style_78"/>
    <w:rPr>
      <w:rFonts w:ascii="XO Thames" w:hAnsi="XO Thames"/>
      <w:b w:val="1"/>
      <w:caps w:val="1"/>
      <w:sz w:val="40"/>
    </w:rPr>
  </w:style>
  <w:style w:styleId="Style_79" w:type="paragraph">
    <w:name w:val="heading 4"/>
    <w:basedOn w:val="Style_4"/>
    <w:next w:val="Style_4"/>
    <w:link w:val="Style_79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79_ch" w:type="character">
    <w:name w:val="heading 4"/>
    <w:basedOn w:val="Style_4_ch"/>
    <w:link w:val="Style_79"/>
    <w:rPr>
      <w:rFonts w:ascii="Calibri" w:hAnsi="Calibri"/>
      <w:b w:val="1"/>
      <w:sz w:val="28"/>
    </w:rPr>
  </w:style>
  <w:style w:styleId="Style_80" w:type="paragraph">
    <w:name w:val="heading 2"/>
    <w:basedOn w:val="Style_4"/>
    <w:next w:val="Style_4"/>
    <w:link w:val="Style_80_ch"/>
    <w:uiPriority w:val="9"/>
    <w:qFormat/>
    <w:pPr>
      <w:keepNext w:val="1"/>
      <w:numPr>
        <w:ilvl w:val="1"/>
        <w:numId w:val="1"/>
      </w:numPr>
      <w:spacing w:after="0" w:before="120"/>
      <w:ind/>
      <w:jc w:val="center"/>
      <w:outlineLvl w:val="1"/>
    </w:pPr>
    <w:rPr>
      <w:b w:val="1"/>
    </w:rPr>
  </w:style>
  <w:style w:styleId="Style_80_ch" w:type="character">
    <w:name w:val="heading 2"/>
    <w:basedOn w:val="Style_4_ch"/>
    <w:link w:val="Style_80"/>
    <w:rPr>
      <w:b w:val="1"/>
    </w:rPr>
  </w:style>
  <w:style w:styleId="Style_81" w:type="paragraph">
    <w:name w:val="caption"/>
    <w:basedOn w:val="Style_4"/>
    <w:link w:val="Style_81_ch"/>
    <w:pPr>
      <w:spacing w:after="120" w:before="120"/>
      <w:ind/>
    </w:pPr>
    <w:rPr>
      <w:i w:val="1"/>
      <w:sz w:val="24"/>
    </w:rPr>
  </w:style>
  <w:style w:styleId="Style_81_ch" w:type="character">
    <w:name w:val="caption"/>
    <w:basedOn w:val="Style_4_ch"/>
    <w:link w:val="Style_81"/>
    <w:rPr>
      <w:i w:val="1"/>
      <w:sz w:val="24"/>
    </w:rPr>
  </w:style>
  <w:style w:styleId="Style_82" w:type="paragraph">
    <w:name w:val="WW8Num21z0"/>
    <w:link w:val="Style_82_ch"/>
  </w:style>
  <w:style w:styleId="Style_82_ch" w:type="character">
    <w:name w:val="WW8Num21z0"/>
    <w:link w:val="Style_82"/>
  </w:style>
  <w:style w:styleId="Style_83" w:type="paragraph">
    <w:name w:val="ConsPlusNormal Знак"/>
    <w:link w:val="Style_83_ch"/>
    <w:rPr>
      <w:rFonts w:ascii="Arial" w:hAnsi="Arial"/>
    </w:rPr>
  </w:style>
  <w:style w:styleId="Style_83_ch" w:type="character">
    <w:name w:val="ConsPlusNormal Знак"/>
    <w:link w:val="Style_83"/>
    <w:rPr>
      <w:rFonts w:ascii="Arial" w:hAnsi="Arial"/>
    </w:rPr>
  </w:style>
  <w:style w:styleId="Style_10" w:type="paragraph">
    <w:name w:val="Body Text"/>
    <w:basedOn w:val="Style_4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4_ch"/>
    <w:link w:val="Style_10"/>
  </w:style>
  <w:style w:styleId="Style_84" w:type="paragraph">
    <w:name w:val="&lt;041E&gt;&lt;0441&gt;&lt;043D&gt;&lt;043E&gt;&lt;0432&gt;&lt;043D&gt;&lt;043E&gt;&lt;0439&gt; &lt;0426&gt;&lt;0435&gt;&lt;043D&gt;&lt;0442&gt;&lt;0440&gt;"/>
    <w:basedOn w:val="Style_4"/>
    <w:link w:val="Style_84_ch"/>
    <w:pPr>
      <w:spacing w:line="180" w:lineRule="atLeast"/>
      <w:ind/>
      <w:jc w:val="center"/>
    </w:pPr>
    <w:rPr>
      <w:rFonts w:ascii="Arial" w:hAnsi="Arial"/>
      <w:b w:val="1"/>
      <w:color w:val="000000"/>
      <w:sz w:val="17"/>
    </w:rPr>
  </w:style>
  <w:style w:styleId="Style_84_ch" w:type="character">
    <w:name w:val="&lt;041E&gt;&lt;0441&gt;&lt;043D&gt;&lt;043E&gt;&lt;0432&gt;&lt;043D&gt;&lt;043E&gt;&lt;0439&gt; &lt;0426&gt;&lt;0435&gt;&lt;043D&gt;&lt;0442&gt;&lt;0440&gt;"/>
    <w:basedOn w:val="Style_4_ch"/>
    <w:link w:val="Style_84"/>
    <w:rPr>
      <w:rFonts w:ascii="Arial" w:hAnsi="Arial"/>
      <w:b w:val="1"/>
      <w:color w:val="000000"/>
      <w:sz w:val="17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2023-05-18T23:37:27Z</dcterms:modified>
</cp:coreProperties>
</file>