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ЖИЛИЩНО-КОММУНАЛЬНОГО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ХОЗЯЙСТВА И ЭНЕРГЕТИКИ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О внесении изменений в приложение № 1 к приказу Министерства жилищно-коммунального хозяйства и энергетики Камчатского края 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от 16.11.2015 № 559 «</w:t>
            </w: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б утверждении нормативов потребления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коммунальной услуги по холодному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водоснабжению при использовании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земельного участка и надворных построек </w:t>
            </w:r>
            <w:r>
              <w:rPr>
                <w:rFonts w:ascii="Times New Roman" w:hAnsi="Times New Roman"/>
                <w:b w:val="1"/>
                <w:sz w:val="28"/>
              </w:rPr>
              <w:t xml:space="preserve">на территории 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Камчатского края»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приложение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 xml:space="preserve"> к приказу Министерства жилищно-коммунального хозяйства и</w:t>
      </w:r>
      <w:r>
        <w:rPr>
          <w:rFonts w:ascii="Times New Roman" w:hAnsi="Times New Roman"/>
          <w:sz w:val="28"/>
        </w:rPr>
        <w:t xml:space="preserve"> энергетики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Style w:val="Style_4_ch"/>
          <w:rFonts w:ascii="Times New Roman" w:hAnsi="Times New Roman"/>
          <w:b w:val="0"/>
          <w:sz w:val="28"/>
        </w:rPr>
        <w:t>от 16.11.2015 № 559 «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б утверждении нормативов потребления </w:t>
      </w:r>
      <w:r>
        <w:rPr>
          <w:rFonts w:ascii="Times New Roman" w:hAnsi="Times New Roman"/>
          <w:b w:val="0"/>
          <w:sz w:val="28"/>
        </w:rPr>
        <w:t xml:space="preserve">коммунальной услуги по холодному </w:t>
      </w:r>
      <w:r>
        <w:rPr>
          <w:rFonts w:ascii="Times New Roman" w:hAnsi="Times New Roman"/>
          <w:b w:val="0"/>
          <w:sz w:val="28"/>
        </w:rPr>
        <w:t xml:space="preserve">водоснабжению при использовании </w:t>
      </w:r>
      <w:r>
        <w:rPr>
          <w:rFonts w:ascii="Times New Roman" w:hAnsi="Times New Roman"/>
          <w:b w:val="0"/>
          <w:sz w:val="28"/>
        </w:rPr>
        <w:t xml:space="preserve">земельного участка и надворных построек </w:t>
      </w:r>
      <w:r>
        <w:rPr>
          <w:rFonts w:ascii="Times New Roman" w:hAnsi="Times New Roman"/>
          <w:b w:val="0"/>
          <w:sz w:val="28"/>
        </w:rPr>
        <w:t>на территории Камчатского края» из</w:t>
      </w:r>
      <w:r>
        <w:rPr>
          <w:rFonts w:ascii="Times New Roman" w:hAnsi="Times New Roman"/>
          <w:sz w:val="28"/>
        </w:rPr>
        <w:t xml:space="preserve">менение, изложив его в редакции, </w:t>
      </w:r>
      <w:r>
        <w:rPr>
          <w:rFonts w:ascii="Times New Roman" w:hAnsi="Times New Roman"/>
          <w:sz w:val="28"/>
        </w:rPr>
        <w:t>согласно приложению к настоящему приказу.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А.А. Питиримов</w:t>
            </w:r>
          </w:p>
        </w:tc>
      </w:tr>
    </w:tbl>
    <w:p w14:paraId="21000000">
      <w:r>
        <w:br w:type="page"/>
      </w:r>
    </w:p>
    <w:p w14:paraId="2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3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жилищно-коммунального хозяйства и энергетики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caps w:val="0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aps w:val="0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aps w:val="0"/>
                <w:color w:themeColor="background1" w:val="FFFFFF"/>
                <w:sz w:val="16"/>
              </w:rPr>
              <w:t>EGNUMSTAMP]</w:t>
            </w:r>
          </w:p>
        </w:tc>
      </w:tr>
    </w:tbl>
    <w:p w14:paraId="2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9000000">
      <w:pPr>
        <w:widowControl w:val="0"/>
        <w:tabs>
          <w:tab w:leader="none" w:pos="8222" w:val="left"/>
        </w:tabs>
        <w:spacing w:after="0" w:line="240" w:lineRule="auto"/>
        <w:ind w:firstLine="5102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№1 к приказу </w:t>
      </w:r>
    </w:p>
    <w:p w14:paraId="2A000000">
      <w:pPr>
        <w:widowControl w:val="0"/>
        <w:tabs>
          <w:tab w:leader="none" w:pos="8222" w:val="left"/>
        </w:tabs>
        <w:spacing w:after="0" w:line="240" w:lineRule="auto"/>
        <w:ind w:firstLine="5102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жилищно-</w:t>
      </w:r>
      <w:r>
        <w:rPr>
          <w:rFonts w:ascii="Times New Roman" w:hAnsi="Times New Roman"/>
          <w:sz w:val="28"/>
        </w:rPr>
        <w:t xml:space="preserve">коммунального </w:t>
      </w:r>
    </w:p>
    <w:p w14:paraId="2B000000">
      <w:pPr>
        <w:widowControl w:val="0"/>
        <w:tabs>
          <w:tab w:leader="none" w:pos="8222" w:val="left"/>
        </w:tabs>
        <w:spacing w:after="0" w:line="240" w:lineRule="auto"/>
        <w:ind w:firstLine="5102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энергетики </w:t>
      </w:r>
    </w:p>
    <w:p w14:paraId="2C000000">
      <w:pPr>
        <w:widowControl w:val="0"/>
        <w:tabs>
          <w:tab w:leader="none" w:pos="8222" w:val="left"/>
        </w:tabs>
        <w:spacing w:after="0" w:line="240" w:lineRule="auto"/>
        <w:ind w:firstLine="5102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76"/>
        <w:gridCol w:w="1869"/>
        <w:gridCol w:w="576"/>
        <w:gridCol w:w="1807"/>
      </w:tblGrid>
      <w:tr>
        <w:trPr>
          <w:trHeight w:hRule="atLeast" w:val="362"/>
        </w:trPr>
        <w:tc>
          <w:tcPr>
            <w:tcW w:type="dxa" w:w="5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16.11.2015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AMP</w:t>
            </w:r>
          </w:p>
        </w:tc>
        <w:tc>
          <w:tcPr>
            <w:tcW w:type="dxa" w:w="5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8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 w:line="240" w:lineRule="auto"/>
              <w:ind/>
              <w:jc w:val="center"/>
              <w:rPr>
                <w:rFonts w:ascii="Times New Roman" w:hAnsi="Times New Roman"/>
                <w:caps w:val="0"/>
                <w:color w:val="000000"/>
                <w:sz w:val="28"/>
              </w:rPr>
            </w:pPr>
            <w:r>
              <w:rPr>
                <w:rFonts w:ascii="Times New Roman" w:hAnsi="Times New Roman"/>
                <w:caps w:val="0"/>
                <w:color w:val="000000"/>
                <w:sz w:val="28"/>
              </w:rPr>
              <w:t>559</w:t>
            </w:r>
          </w:p>
        </w:tc>
      </w:tr>
    </w:tbl>
    <w:p w14:paraId="31000000">
      <w:pPr>
        <w:ind/>
        <w:jc w:val="right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Нормативы потребления коммунальной услуги по холодному водоснабжению 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использовании земельного участка и надворных построек                                                                  на территории Камчатского края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8"/>
        <w:gridCol w:w="4696"/>
        <w:gridCol w:w="2409"/>
        <w:gridCol w:w="1575"/>
      </w:tblGrid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использования коммунального ресурса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потребления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Полив земельного участка</w:t>
            </w:r>
          </w:p>
          <w:p w14:paraId="3A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с июня по сентябрь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куб.метр в месяц на кв. метр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Полив земельного участка </w:t>
            </w:r>
          </w:p>
          <w:p w14:paraId="3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с мая по сентябрь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куб.метр в месяц на кв. метр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Водоснабжение и приготовление пищи для сельскохозяйственных животных: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/>
        </w:tc>
      </w:tr>
      <w:tr>
        <w:trPr>
          <w:trHeight w:hRule="atLeast" w:val="557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2,13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лошадь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1,83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свинья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1,83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овца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индейка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/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кролик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голову животного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Водоснабжение иных надворных построек, в том числе гаража, теплиц (зимних садов), других объектов (круглогодично)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человека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0,47</w:t>
            </w:r>
          </w:p>
        </w:tc>
      </w:tr>
      <w:tr>
        <w:trPr>
          <w:trHeight w:hRule="atLeast" w:val="346"/>
        </w:trPr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Водоснабжение бань, саун, находящихся в доме/примыкающих к жилому дому и  (или) отдельно стоящих на общем с жилым домом земельном участке (круглогодично)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 метр в месяц на человека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3,95</w:t>
            </w:r>
          </w:p>
        </w:tc>
      </w:tr>
    </w:tbl>
    <w:p w14:paraId="76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77000000">
      <w:pPr>
        <w:spacing w:after="0"/>
        <w:ind w:hanging="709" w:left="1417"/>
        <w:jc w:val="both"/>
        <w:rPr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7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Водоснабжение (пополнение) открытых летних бассейнов (с июня по сентябрь) и </w:t>
      </w:r>
      <w:r>
        <w:rPr>
          <w:rFonts w:ascii="Times New Roman" w:hAnsi="Times New Roman"/>
          <w:sz w:val="28"/>
        </w:rPr>
        <w:t xml:space="preserve">закрытых бассейнов (круглогодично) из расчета </w:t>
      </w:r>
      <w:r>
        <w:rPr>
          <w:rFonts w:ascii="Times New Roman" w:hAnsi="Times New Roman"/>
          <w:sz w:val="28"/>
        </w:rPr>
        <w:t xml:space="preserve">куб.метр в месяц на 1 куб.метр бассейна следует определять в соответствии с </w:t>
      </w:r>
      <w:r>
        <w:rPr>
          <w:rStyle w:val="Style_4_ch"/>
          <w:rFonts w:ascii="Times New Roman" w:hAnsi="Times New Roman"/>
          <w:sz w:val="28"/>
        </w:rPr>
        <w:t>СП 30.13330.2020. Свод п</w:t>
      </w:r>
      <w:r>
        <w:rPr>
          <w:rStyle w:val="Style_4_ch"/>
          <w:rFonts w:ascii="Times New Roman" w:hAnsi="Times New Roman"/>
          <w:sz w:val="28"/>
        </w:rPr>
        <w:t xml:space="preserve">равил. Внутренний водопровод и канализация зданий. СНиП 2.04.01-85*, </w:t>
      </w:r>
      <w:r>
        <w:rPr>
          <w:rStyle w:val="Style_4_ch"/>
          <w:rFonts w:ascii="Times New Roman" w:hAnsi="Times New Roman"/>
          <w:sz w:val="28"/>
        </w:rPr>
        <w:t>утвержденного приказом Минстроя России от 30.12.2020 № 920/пр».</w:t>
      </w:r>
    </w:p>
    <w:p w14:paraId="79000000">
      <w:pPr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1134" w:footer="709" w:gutter="0" w:header="709" w:left="1418" w:right="425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8"/>
    <w:link w:val="Style_17_ch"/>
    <w:rPr>
      <w:color w:themeColor="hyperlink" w:val="0563C1"/>
      <w:u w:val="single"/>
    </w:rPr>
  </w:style>
  <w:style w:styleId="Style_17_ch" w:type="character">
    <w:name w:val="Hyperlink"/>
    <w:basedOn w:val="Style_8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2023-07-30T21:08:48Z</dcterms:modified>
</cp:coreProperties>
</file>