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2000000">
      <w:pPr>
        <w:pStyle w:val="Style_2"/>
        <w:ind/>
        <w:jc w:val="center"/>
      </w:pPr>
      <w:r>
        <w:t>о проведении отбора получателей из краевого бюджета</w:t>
      </w:r>
    </w:p>
    <w:p w14:paraId="03000000">
      <w:pPr>
        <w:pStyle w:val="Style_2"/>
        <w:ind/>
        <w:jc w:val="center"/>
      </w:pPr>
      <w:r>
        <w:t xml:space="preserve">субсидий </w:t>
      </w:r>
      <w:r>
        <w:t>юридическим лицам,</w:t>
      </w:r>
    </w:p>
    <w:p w14:paraId="04000000">
      <w:pPr>
        <w:pStyle w:val="Style_2"/>
        <w:ind/>
        <w:jc w:val="center"/>
      </w:pPr>
      <w:r>
        <w:t>осуществляющим деятельность в сфере водоснабжения и водоотведения,</w:t>
      </w:r>
    </w:p>
    <w:p w14:paraId="05000000">
      <w:pPr>
        <w:pStyle w:val="Style_2"/>
        <w:ind/>
        <w:jc w:val="center"/>
      </w:pPr>
      <w:r>
        <w:t>субсидии из краевого бюджета на финансовое обеспечение затрат</w:t>
      </w:r>
    </w:p>
    <w:p w14:paraId="06000000">
      <w:pPr>
        <w:pStyle w:val="Style_2"/>
        <w:ind/>
        <w:jc w:val="center"/>
      </w:pPr>
      <w:r>
        <w:t>по внесению платы за негативное воздействие на окружающую среду,</w:t>
      </w:r>
    </w:p>
    <w:p w14:paraId="07000000">
      <w:pPr>
        <w:pStyle w:val="Style_2"/>
        <w:ind/>
        <w:jc w:val="center"/>
      </w:pPr>
      <w:r>
        <w:t>возникших в связи с оказанием услуг по водоснабжению и водоотведению</w:t>
      </w:r>
    </w:p>
    <w:p w14:paraId="08000000">
      <w:pPr>
        <w:pStyle w:val="Style_2"/>
        <w:ind/>
        <w:jc w:val="center"/>
      </w:pPr>
    </w:p>
    <w:p w14:paraId="09000000">
      <w:pPr>
        <w:pStyle w:val="Style_2"/>
        <w:ind/>
        <w:jc w:val="both"/>
      </w:pPr>
      <w:r>
        <w:t xml:space="preserve"> </w:t>
      </w:r>
    </w:p>
    <w:p w14:paraId="0A000000">
      <w:pPr>
        <w:pStyle w:val="Style_2"/>
        <w:ind/>
        <w:jc w:val="both"/>
      </w:pPr>
      <w:r>
        <w:t xml:space="preserve">Министерством жилищно-коммунального хозяйства и энергетики Камчатского края (далее – Министерство) объявлен отбор получателей из краевого бюджета субсидий </w:t>
      </w:r>
      <w:r>
        <w:t>юридическим лицам, осуществляющим деятельность в сфере водоснабжения и водоотведения, субсидии из краевого бюджета на финансовое обеспечение затрат по внесению платы за негативное воздействие на окружающую среду, возникших в связи с оказанием услуг по водоснабжению и водоотведению</w:t>
      </w:r>
      <w:r>
        <w:t xml:space="preserve">, проводимый в соответствии с Порядком </w:t>
      </w:r>
      <w:r>
        <w:t>предоставления юридическим лицам, осуществляющим деятельность в сфере водоснабжения и водоотведения, субсидии из краевого бюджета на финансовое обеспечение затрат по внесению платы за негативное воздействие на окружающую среду, возникших в связи с оказанием услуг по водоснабжению и водоотведению</w:t>
      </w:r>
      <w:r>
        <w:t>, утвержденным постановлением Правительства Камчатского края от 18.11.2016 № 454-П «Об утверждении Порядка предоставления юридическим лицам, осуществляющим деятельность в сфере водоснабжения и водоотведения, субсидии из краевого бюджета на финансовое обеспечение затрат по внесению платы за негативное воздействие на окружающую среду, возникших в связи с оказанием услуг по водоснабжению и водоотведению» (далее – Порядок).</w:t>
      </w:r>
    </w:p>
    <w:p w14:paraId="0B000000">
      <w:pPr>
        <w:pStyle w:val="Style_2"/>
        <w:tabs>
          <w:tab w:leader="none" w:pos="708" w:val="clear"/>
          <w:tab w:leader="none" w:pos="851" w:val="left"/>
        </w:tabs>
        <w:ind w:firstLine="709" w:left="0"/>
        <w:jc w:val="both"/>
      </w:pPr>
    </w:p>
    <w:tbl>
      <w:tblPr>
        <w:tblStyle w:val="Style_3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2"/>
        <w:gridCol w:w="1992"/>
        <w:gridCol w:w="7371"/>
      </w:tblGrid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spacing w:after="0" w:before="0"/>
              <w:ind/>
              <w:jc w:val="left"/>
            </w:pPr>
            <w:r>
              <w:t>Срок проведения отбора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с 30.06.2023 по 13.07.2023 (включительно)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2.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Дата начала подачи приема заявок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30.06.2023;</w:t>
            </w:r>
          </w:p>
          <w:p w14:paraId="1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3.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0"/>
              <w:spacing w:after="0" w:before="0"/>
              <w:ind/>
              <w:jc w:val="left"/>
            </w:pPr>
            <w:r>
              <w:t>Результат предоставления субсидии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Результатом предоставления субсидий является </w:t>
            </w:r>
            <w:r>
              <w:rPr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>объем (кубических метров) принятых сточных вод у потребителей за отчетный период (год) по состоянию на 31 декабря текущего финансового года.</w:t>
            </w:r>
          </w:p>
          <w:p w14:paraId="16000000">
            <w:pPr>
              <w:pStyle w:val="Style_2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Показателем, необходимым для достижения результата предоставления субсидии является </w:t>
            </w:r>
            <w:r>
              <w:rPr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>отсутствие у получателя субсидии просроченной задолженности по внесению платы за негативное воздействие на окружающую среду в стоимостном выражении (рублях) по состоянию на 31 декабря текущего финансового года</w:t>
            </w:r>
            <w:r>
              <w:rPr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>.</w:t>
            </w:r>
          </w:p>
          <w:p w14:paraId="17000000">
            <w:pPr>
              <w:pStyle w:val="Style_2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Значения результата предоставления субсидии и</w:t>
            </w:r>
            <w:r>
              <w:rPr>
                <w:color w:val="000000"/>
                <w:sz w:val="28"/>
              </w:rPr>
              <w:t xml:space="preserve"> показателя, необходимого для его достижения,</w:t>
            </w:r>
            <w:r>
              <w:rPr>
                <w:color w:val="000000"/>
                <w:sz w:val="28"/>
              </w:rPr>
              <w:t xml:space="preserve"> устанавливаются соглашением.</w:t>
            </w:r>
          </w:p>
          <w:p w14:paraId="18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4.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Проведение отбора осуществляется на официальном сайте Министерства жилищно-коммунального хозяйства и энергетики Камчатского края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www</w:t>
            </w:r>
            <w:r>
              <w:t>.</w:t>
            </w:r>
            <w:r>
              <w:t>kamgov</w:t>
            </w:r>
            <w:r>
              <w:t>.</w:t>
            </w:r>
            <w:r>
              <w:t>ru</w:t>
            </w:r>
            <w:r>
              <w:t>/</w:t>
            </w:r>
            <w:r>
              <w:t>minzkh</w:t>
            </w:r>
            <w:r>
              <w:t xml:space="preserve"> в разделе «Текущая деятельность»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5.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Категория и требования, которым должны соответствовать участники отбора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2"/>
              <w:widowControl w:val="0"/>
              <w:spacing w:after="0" w:before="0"/>
              <w:ind/>
              <w:jc w:val="both"/>
            </w:pPr>
            <w:r>
              <w:t>К категории получателей субсидий относятся юридические лица, осуществляющие деятельность в сфере водоснабжения и водоотведения (за исключением государственных (муниципальных) учреждений) (далее - получатели субсидии) и имеющие:</w:t>
            </w:r>
          </w:p>
          <w:p w14:paraId="1F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1) оформленные в установленном порядке документы, разрешающие использование водных объектов для целей сбросов сточных вод;</w:t>
            </w:r>
          </w:p>
          <w:p w14:paraId="20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2) аккредитованную испытательную лабораторию (центр);</w:t>
            </w:r>
          </w:p>
          <w:p w14:paraId="21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3) экологические сертификаты.</w:t>
            </w:r>
          </w:p>
          <w:p w14:paraId="2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6.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Документы, которые необходимо предоставить для участия в отборе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4"/>
              <w:widowControl w:val="0"/>
              <w:spacing w:after="0" w:before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 (приказ от 27.01.2022 № 20-13), и должна содержать:</w:t>
            </w:r>
          </w:p>
          <w:p w14:paraId="26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1) следующие сведения и документы об участнике отбора, подавшем заявку:</w:t>
            </w:r>
          </w:p>
          <w:p w14:paraId="27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а) полное наименование, сведения об организационно-правовой форме, месте нахождения,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14:paraId="28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б)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      </w:r>
          </w:p>
          <w:p w14:paraId="29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в) согласие на размещение на едином портале и официальном сайте Министерства информации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14:paraId="2A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 xml:space="preserve">2) следующие документы, подтверждающие соответствие участника отбора категории, установленной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"consultantplus://offline/ref=67DCA7E6E1632D432BFD026CFD2980537EF007CFF551F5AA69EAC6E0E61EA2FD3F01D32510337D1B340501B79A7729A8956A6205975A09E33F1BF38B29oCF"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частью 7</w:t>
            </w:r>
            <w:r>
              <w:rPr>
                <w:rStyle w:val="Style_5_ch"/>
              </w:rPr>
              <w:fldChar w:fldCharType="end"/>
            </w:r>
            <w:r>
              <w:t xml:space="preserve"> Порядка, и требованиям, установленным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"consultantplus://offline/ref=67DCA7E6E1632D432BFD026CFD2980537EF007CFF551F5AA69EAC6E0E61EA2FD3F01D32510337D1B340501B09C7729A8956A6205975A09E33F1BF38B29oCF"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частью 8</w:t>
            </w:r>
            <w:r>
              <w:rPr>
                <w:rStyle w:val="Style_5_ch"/>
              </w:rPr>
              <w:fldChar w:fldCharType="end"/>
            </w:r>
            <w:r>
              <w:t xml:space="preserve"> Порядка:</w:t>
            </w:r>
          </w:p>
          <w:p w14:paraId="2B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а) справку, подписанную руководителем участника отбора, подтверждающую, что участник отбора соответствует требованиям, установленным пунктом 1 части 8 Порядка;</w:t>
            </w:r>
          </w:p>
          <w:p w14:paraId="2C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б) копии документов, подтверждающих право использования водных объектов для целей сбросов сточных вод, заверенные подписью руководителя участника отбора;</w:t>
            </w:r>
          </w:p>
          <w:p w14:paraId="2D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в) копию аттестата аккредитации испытательной лаборатории (центра), заверенную подписью руководителя участника отбора;</w:t>
            </w:r>
          </w:p>
          <w:p w14:paraId="2E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г) копии экологических сертификатов, заверенные подписью руководителя участника отбора;</w:t>
            </w:r>
          </w:p>
          <w:p w14:paraId="2F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3) следующие документы, подтверждающие возникновение обязательств и размер затрат по внесению платы за негативное воздействие на окружающую среду у участника отбора:</w:t>
            </w:r>
          </w:p>
          <w:p w14:paraId="30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а) заверенную надлежащим образом копию декларации о плате за негативное воздействие на окружающую среду за отчетный период (год);</w:t>
            </w:r>
          </w:p>
          <w:p w14:paraId="31000000">
            <w:pPr>
              <w:pStyle w:val="Style_2"/>
              <w:widowControl w:val="0"/>
              <w:spacing w:after="0" w:before="0"/>
              <w:ind w:firstLine="540" w:left="0"/>
              <w:jc w:val="both"/>
            </w:pPr>
            <w:r>
              <w:t>б) вступившие в законную силу судебные решения о взыскании с участника отбора платы за негативное воздействие на окружающую среду (при наличии).</w:t>
            </w:r>
          </w:p>
          <w:p w14:paraId="3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7.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>Заявка на участие в отборе предоставляется в порядке и по форме, установленной Министерством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8.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Порядок отзыва заявки участником отбора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Заявка может быть отозвана в срок, не позднее 2 рабочих дней до окончания срока приема заявок. Отзыв заявки осуществляется путем направления в Министерство в период проведения отбора уведомления об отзыве заявки.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9.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Порядок уведомления участников отбора об отклонении заявок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 xml:space="preserve">В случае отклонения заявок Министерство в течение 5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r>
              <w:rPr>
                <w:color w:val="0000FF"/>
              </w:rPr>
              <w:t>частью 23</w:t>
            </w:r>
            <w:r>
              <w:t xml:space="preserve"> Порядка.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10.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Порядок внесения изменений в заявки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0"/>
              <w:spacing w:after="0" w:before="0"/>
              <w:ind/>
              <w:jc w:val="both"/>
            </w:pPr>
            <w:r>
              <w:t>Внесение изменений в заявку осуществляется путем направления необходимых сведений в Министерство в период проведения отбора.</w:t>
            </w:r>
          </w:p>
          <w:p w14:paraId="3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11.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Правила рассмотрения и оценки заявок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widowControl w:val="0"/>
              <w:spacing w:after="0" w:before="0"/>
              <w:ind/>
              <w:jc w:val="both"/>
            </w:pPr>
            <w:r>
              <w:t xml:space="preserve">Победителем отбора признается участник отбора, чья  заявка соответствует  требованиям,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"consultantplus://offline/ref=A362DC4154940DE9BF4655E10368A80142080EE858715B70B281AFEA3A01EBA9BEDFD795F88F295929365A4C379AD160CB2F6328FA418DE52F9CD137V9q2C"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частью 9</w:t>
            </w:r>
            <w:r>
              <w:rPr>
                <w:color w:val="0000FF"/>
              </w:rPr>
              <w:fldChar w:fldCharType="end"/>
            </w:r>
            <w:r>
              <w:t xml:space="preserve"> Порядка, а участник  отбора при этом соответствует категории и требованиям,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"consultantplus://offline/ref=A362DC4154940DE9BF4655E10368A80142080EE858715B70B281AFEA3A01EBA9BEDFD795F88F295929365A4F319AD160CB2F6328FA418DE52F9CD137V9q2C"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частями 7</w:t>
            </w:r>
            <w:r>
              <w:rPr>
                <w:color w:val="0000FF"/>
              </w:rPr>
              <w:fldChar w:fldCharType="end"/>
            </w:r>
            <w:r>
              <w:t xml:space="preserve"> 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"consultantplus://offline/ref=A362DC4154940DE9BF4655E10368A80142080EE858715B70B281AFEA3A01EBA9BEDFD795F88F295929365A4F309AD160CB2F6328FA418DE52F9CD137V9q2C"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8</w:t>
            </w:r>
            <w:r>
              <w:rPr>
                <w:color w:val="0000FF"/>
              </w:rPr>
              <w:fldChar w:fldCharType="end"/>
            </w:r>
            <w:r>
              <w:t xml:space="preserve"> Порядка.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12.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4"/>
              <w:widowControl w:val="0"/>
              <w:spacing w:after="0" w:before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чем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 5 рабочих дней до даты окончания срока подачи заявок л</w:t>
            </w:r>
            <w:r>
              <w:rPr>
                <w:rFonts w:ascii="Times New Roman" w:hAnsi="Times New Roman"/>
                <w:sz w:val="28"/>
              </w:rPr>
              <w:t>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14:paraId="46000000">
            <w:pPr>
              <w:pStyle w:val="Style_4"/>
              <w:widowControl w:val="0"/>
              <w:spacing w:after="0" w:before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суть.</w:t>
            </w:r>
          </w:p>
          <w:p w14:paraId="47000000">
            <w:pPr>
              <w:pStyle w:val="Style_4"/>
              <w:widowControl w:val="0"/>
              <w:spacing w:after="0" w:before="0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>Запросы, поступившие позднее ч</w:t>
            </w:r>
            <w:r>
              <w:rPr>
                <w:rFonts w:ascii="Times New Roman" w:hAnsi="Times New Roman"/>
                <w:sz w:val="28"/>
              </w:rPr>
              <w:t xml:space="preserve">ем за 5 рабочих </w:t>
            </w:r>
            <w:r>
              <w:rPr>
                <w:rFonts w:ascii="Times New Roman" w:hAnsi="Times New Roman"/>
                <w:sz w:val="28"/>
              </w:rPr>
              <w:t>дней д</w:t>
            </w:r>
            <w:r>
              <w:rPr>
                <w:rFonts w:ascii="Times New Roman" w:hAnsi="Times New Roman"/>
                <w:sz w:val="28"/>
              </w:rPr>
              <w:t>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13.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Сроки подписания победителем (победителями) отбора соглашения о предоставлении субсидии (далее – соглашение)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widowControl w:val="0"/>
              <w:tabs>
                <w:tab w:leader="none" w:pos="708" w:val="clear"/>
                <w:tab w:leader="none" w:pos="1134" w:val="left"/>
              </w:tabs>
              <w:spacing w:after="0" w:before="0"/>
              <w:ind/>
              <w:jc w:val="both"/>
            </w:pPr>
            <w:r>
              <w:t>Победитель отбора, которому направлен для подписания проект соглашения, в течение 5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14.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Условия признания победителя (победителей) отбора уклонившимся (уклонившимися) от заключения соглашения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2"/>
              <w:widowControl w:val="0"/>
              <w:tabs>
                <w:tab w:leader="none" w:pos="708" w:val="clear"/>
                <w:tab w:leader="none" w:pos="1134" w:val="left"/>
              </w:tabs>
              <w:spacing w:after="0" w:before="0"/>
              <w:ind/>
              <w:jc w:val="both"/>
            </w:pPr>
            <w:r>
              <w:t>В случае невыполнения победителем отбора порядка подписания соглашения, установленного частью 25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both"/>
            </w:pPr>
            <w:r>
              <w:t>15.</w:t>
            </w:r>
          </w:p>
        </w:tc>
        <w:tc>
          <w:tcPr>
            <w:tcW w:type="dxa" w:w="1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/>
              <w:ind/>
              <w:jc w:val="left"/>
            </w:pPr>
            <w:r>
              <w:t xml:space="preserve">Дата размещения результатов отбора на едином портале и на официальном сайте Министерства </w:t>
            </w:r>
          </w:p>
        </w:tc>
        <w:tc>
          <w:tcPr>
            <w:tcW w:type="dxa" w:w="737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4"/>
              <w:widowControl w:val="0"/>
              <w:tabs>
                <w:tab w:leader="none" w:pos="708" w:val="clear"/>
                <w:tab w:leader="none" w:pos="993" w:val="left"/>
              </w:tabs>
              <w:spacing w:after="0" w:before="0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До </w:t>
            </w:r>
            <w:r>
              <w:rPr>
                <w:rFonts w:ascii="Times New Roman" w:hAnsi="Times New Roman"/>
                <w:sz w:val="28"/>
              </w:rPr>
              <w:t>26.07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1000000">
            <w:pPr>
              <w:pStyle w:val="Style_4"/>
              <w:widowControl w:val="0"/>
              <w:spacing w:after="0" w:before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 w14:paraId="52000000">
            <w:pPr>
              <w:pStyle w:val="Style_4"/>
              <w:widowControl w:val="0"/>
              <w:spacing w:after="0" w:before="0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дату, время и место проведения рассмотрения заявок;</w:t>
            </w:r>
          </w:p>
          <w:p w14:paraId="53000000">
            <w:pPr>
              <w:pStyle w:val="Style_4"/>
              <w:widowControl w:val="0"/>
              <w:spacing w:after="0" w:before="0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информацию об участниках отбора, заявки которых были рассмотрены;</w:t>
            </w:r>
          </w:p>
          <w:p w14:paraId="54000000">
            <w:pPr>
              <w:pStyle w:val="Style_4"/>
              <w:widowControl w:val="0"/>
              <w:spacing w:after="0" w:before="0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      </w:r>
          </w:p>
        </w:tc>
      </w:tr>
    </w:tbl>
    <w:p w14:paraId="55000000">
      <w:pPr>
        <w:pStyle w:val="Style_2"/>
      </w:pPr>
    </w:p>
    <w:p w14:paraId="56000000">
      <w:pPr>
        <w:pStyle w:val="Style_2"/>
      </w:pPr>
    </w:p>
    <w:p w14:paraId="57000000">
      <w:pPr>
        <w:pStyle w:val="Style_2"/>
      </w:pPr>
    </w:p>
    <w:p w14:paraId="58000000">
      <w:pPr>
        <w:pStyle w:val="Style_2"/>
      </w:pPr>
    </w:p>
    <w:p w14:paraId="59000000">
      <w:pPr>
        <w:pStyle w:val="Style_2"/>
      </w:pPr>
    </w:p>
    <w:p w14:paraId="5A000000">
      <w:pPr>
        <w:pStyle w:val="Style_2"/>
      </w:pPr>
    </w:p>
    <w:p w14:paraId="5B000000">
      <w:pPr>
        <w:pStyle w:val="Style_2"/>
      </w:pPr>
    </w:p>
    <w:p w14:paraId="5C000000">
      <w:pPr>
        <w:pStyle w:val="Style_2"/>
      </w:pPr>
    </w:p>
    <w:p w14:paraId="5D000000">
      <w:pPr>
        <w:pStyle w:val="Style_2"/>
      </w:pPr>
    </w:p>
    <w:p w14:paraId="5E000000">
      <w:pPr>
        <w:pStyle w:val="Style_2"/>
      </w:pPr>
    </w:p>
    <w:p w14:paraId="5F000000">
      <w:pPr>
        <w:pStyle w:val="Style_2"/>
      </w:pPr>
    </w:p>
    <w:p w14:paraId="60000000">
      <w:pPr>
        <w:pStyle w:val="Style_2"/>
      </w:pPr>
    </w:p>
    <w:p w14:paraId="61000000">
      <w:pPr>
        <w:pStyle w:val="Style_2"/>
      </w:pPr>
    </w:p>
    <w:p w14:paraId="62000000">
      <w:pPr>
        <w:pStyle w:val="Style_2"/>
      </w:pPr>
    </w:p>
    <w:p w14:paraId="63000000">
      <w:pPr>
        <w:pStyle w:val="Style_2"/>
      </w:pPr>
    </w:p>
    <w:p w14:paraId="64000000">
      <w:pPr>
        <w:pStyle w:val="Style_2"/>
      </w:pPr>
    </w:p>
    <w:p w14:paraId="65000000">
      <w:pPr>
        <w:pStyle w:val="Style_2"/>
      </w:pPr>
    </w:p>
    <w:p w14:paraId="66000000">
      <w:pPr>
        <w:pStyle w:val="Style_2"/>
      </w:pPr>
    </w:p>
    <w:p w14:paraId="67000000">
      <w:pPr>
        <w:pStyle w:val="Style_2"/>
      </w:pPr>
    </w:p>
    <w:p w14:paraId="68000000">
      <w:pPr>
        <w:pStyle w:val="Style_2"/>
      </w:pPr>
    </w:p>
    <w:p w14:paraId="69000000">
      <w:pPr>
        <w:pStyle w:val="Style_2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8890" distL="0" distR="0" distT="0" layoutInCell="true" locked="false" relativeHeight="251658240" simplePos="false">
                <wp:simplePos x="0" y="0"/>
                <wp:positionH relativeFrom="margin">
                  <wp:posOffset>-100330</wp:posOffset>
                </wp:positionH>
                <wp:positionV relativeFrom="margin">
                  <wp:posOffset>9070340</wp:posOffset>
                </wp:positionV>
                <wp:extent cx="2973705" cy="35306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737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00000">
                            <w:pPr>
                              <w:pStyle w:val="Style_6"/>
                              <w:ind w:firstLine="284" w:left="-284"/>
                              <w:rPr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1" w:name="_GoBack"/>
      <w:bookmarkEnd w:id="1"/>
    </w:p>
    <w:sectPr>
      <w:type w:val="nextPage"/>
      <w:pgSz w:h="16838" w:orient="portrait" w:w="11906"/>
      <w:pgMar w:bottom="1134" w:footer="0" w:gutter="0" w:header="0" w:left="1134" w:right="707" w:top="99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Указатель"/>
    <w:basedOn w:val="Style_2"/>
    <w:link w:val="Style_9_ch"/>
  </w:style>
  <w:style w:styleId="Style_9_ch" w:type="character">
    <w:name w:val="Указатель"/>
    <w:basedOn w:val="Style_2_ch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List"/>
    <w:basedOn w:val="Style_14"/>
    <w:link w:val="Style_13_ch"/>
  </w:style>
  <w:style w:styleId="Style_13_ch" w:type="character">
    <w:name w:val="List"/>
    <w:basedOn w:val="Style_14_ch"/>
    <w:link w:val="Style_13"/>
  </w:style>
  <w:style w:styleId="Style_4" w:type="paragraph">
    <w:name w:val="ConsPlusNormal"/>
    <w:link w:val="Style_4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4_ch" w:type="character">
    <w:name w:val="ConsPlusNormal"/>
    <w:link w:val="Style_4"/>
    <w:rPr>
      <w:rFonts w:ascii="Arial" w:hAnsi="Arial"/>
      <w:color w:val="000000"/>
      <w:sz w:val="20"/>
    </w:rPr>
  </w:style>
  <w:style w:styleId="Style_6" w:type="paragraph">
    <w:name w:val="Footer"/>
    <w:basedOn w:val="Style_2"/>
    <w:link w:val="Style_6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aption"/>
    <w:basedOn w:val="Style_2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2_ch"/>
    <w:link w:val="Style_16"/>
    <w:rPr>
      <w:i w:val="1"/>
      <w:sz w:val="24"/>
    </w:rPr>
  </w:style>
  <w:style w:styleId="Style_14" w:type="paragraph">
    <w:name w:val="Body Text"/>
    <w:basedOn w:val="Style_2"/>
    <w:link w:val="Style_14_ch"/>
    <w:pPr>
      <w:spacing w:after="140" w:before="0" w:line="276" w:lineRule="auto"/>
      <w:ind/>
    </w:pPr>
  </w:style>
  <w:style w:styleId="Style_14_ch" w:type="character">
    <w:name w:val="Body Text"/>
    <w:basedOn w:val="Style_2_ch"/>
    <w:link w:val="Style_14"/>
  </w:style>
  <w:style w:styleId="Style_17" w:type="paragraph">
    <w:name w:val="Колонтитул"/>
    <w:basedOn w:val="Style_2"/>
    <w:link w:val="Style_17_ch"/>
  </w:style>
  <w:style w:styleId="Style_17_ch" w:type="character">
    <w:name w:val="Колонтитул"/>
    <w:basedOn w:val="Style_2_ch"/>
    <w:link w:val="Style_17"/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2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5" w:type="paragraph">
    <w:name w:val="Hyperlink"/>
    <w:basedOn w:val="Style_20"/>
    <w:link w:val="Style_5_ch"/>
    <w:rPr>
      <w:color w:themeColor="hyperlink" w:val="0563C1"/>
      <w:u w:val="single"/>
    </w:rPr>
  </w:style>
  <w:style w:styleId="Style_5_ch" w:type="character">
    <w:name w:val="Hyperlink"/>
    <w:basedOn w:val="Style_20_ch"/>
    <w:link w:val="Style_5"/>
    <w:rPr>
      <w:color w:themeColor="hyperlink"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Нижний колонтитул Знак"/>
    <w:basedOn w:val="Style_20"/>
    <w:link w:val="Style_25_ch"/>
    <w:rPr>
      <w:rFonts w:ascii="Times New Roman" w:hAnsi="Times New Roman"/>
      <w:sz w:val="28"/>
    </w:rPr>
  </w:style>
  <w:style w:styleId="Style_25_ch" w:type="character">
    <w:name w:val="Нижний колонтитул Знак"/>
    <w:basedOn w:val="Style_20_ch"/>
    <w:link w:val="Style_25"/>
    <w:rPr>
      <w:rFonts w:ascii="Times New Roman" w:hAnsi="Times New Roman"/>
      <w:sz w:val="28"/>
    </w:rPr>
  </w:style>
  <w:style w:styleId="Style_26" w:type="paragraph">
    <w:name w:val="Содержимое врезки"/>
    <w:basedOn w:val="Style_2"/>
    <w:link w:val="Style_26_ch"/>
  </w:style>
  <w:style w:styleId="Style_26_ch" w:type="character">
    <w:name w:val="Содержимое врезки"/>
    <w:basedOn w:val="Style_2_ch"/>
    <w:link w:val="Style_26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ConsPlusTitle"/>
    <w:link w:val="Style_1_ch"/>
    <w:pPr>
      <w:widowControl w:val="0"/>
      <w:spacing w:after="0" w:before="0" w:line="240" w:lineRule="auto"/>
      <w:ind/>
      <w:jc w:val="left"/>
    </w:pPr>
    <w:rPr>
      <w:rFonts w:asciiTheme="minorAscii" w:hAnsiTheme="minorHAnsi"/>
      <w:b w:val="1"/>
      <w:color w:val="000000"/>
      <w:sz w:val="22"/>
    </w:rPr>
  </w:style>
  <w:style w:styleId="Style_1_ch" w:type="character">
    <w:name w:val="ConsPlusTitle"/>
    <w:link w:val="Style_1"/>
    <w:rPr>
      <w:rFonts w:asciiTheme="minorAscii" w:hAnsiTheme="minorHAnsi"/>
      <w:b w:val="1"/>
      <w:color w:val="000000"/>
      <w:sz w:val="22"/>
    </w:rPr>
  </w:style>
  <w:style w:styleId="Style_30" w:type="paragraph">
    <w:name w:val="Заголовок"/>
    <w:basedOn w:val="Style_2"/>
    <w:next w:val="Style_14"/>
    <w:link w:val="Style_30_ch"/>
    <w:pPr>
      <w:keepNext w:val="1"/>
      <w:spacing w:after="120" w:before="240"/>
      <w:ind/>
    </w:pPr>
    <w:rPr>
      <w:rFonts w:ascii="Open Sans" w:hAnsi="Open Sans"/>
      <w:sz w:val="28"/>
    </w:rPr>
  </w:style>
  <w:style w:styleId="Style_30_ch" w:type="character">
    <w:name w:val="Заголовок"/>
    <w:basedOn w:val="Style_2_ch"/>
    <w:link w:val="Style_30"/>
    <w:rPr>
      <w:rFonts w:ascii="Open Sans" w:hAnsi="Open Sans"/>
      <w:sz w:val="28"/>
    </w:rPr>
  </w:style>
  <w:style w:styleId="Style_31" w:type="paragraph">
    <w:name w:val="Title"/>
    <w:next w:val="Style_2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2023-06-29T21:12:57Z</dcterms:modified>
</cp:coreProperties>
</file>