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790D63">
        <w:trPr>
          <w:trHeight w:val="3490"/>
        </w:trPr>
        <w:tc>
          <w:tcPr>
            <w:tcW w:w="4395" w:type="dxa"/>
          </w:tcPr>
          <w:p w:rsidR="00B60245" w:rsidRPr="008D13CF" w:rsidRDefault="00790D63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416616">
              <w:rPr>
                <w:color w:val="000000"/>
                <w:szCs w:val="28"/>
                <w:lang w:eastAsia="ar-SA"/>
              </w:rPr>
              <w:t xml:space="preserve">Об утверждении порядка </w:t>
            </w:r>
            <w:r w:rsidRPr="004313D6">
              <w:rPr>
                <w:color w:val="000000"/>
                <w:szCs w:val="28"/>
                <w:lang w:eastAsia="ar-SA"/>
              </w:rPr>
              <w:t xml:space="preserve">использования </w:t>
            </w:r>
            <w:r>
              <w:rPr>
                <w:color w:val="000000"/>
                <w:szCs w:val="28"/>
                <w:lang w:eastAsia="ar-SA"/>
              </w:rPr>
              <w:t>фонда капитального ремонта, сформированного в отношении многоквартирных домов, формирующих фонд капитального ремонта на счёте, счетах регионального оператора, образующего имущество регионального оператора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6E4B23" w:rsidRDefault="00790D63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AA303D">
        <w:rPr>
          <w:szCs w:val="28"/>
        </w:rPr>
        <w:t xml:space="preserve"> соответствии с частью 2 статьи 179 Жилищного кодекса Российской Федерации и частью 2 статьи</w:t>
      </w:r>
      <w:r w:rsidRPr="004313D6">
        <w:rPr>
          <w:szCs w:val="28"/>
        </w:rPr>
        <w:t xml:space="preserve"> 19 Закона Камчатского края от 02.12.2013 № 359 </w:t>
      </w:r>
      <w:r>
        <w:rPr>
          <w:szCs w:val="28"/>
        </w:rPr>
        <w:t>«</w:t>
      </w:r>
      <w:r w:rsidRPr="004313D6">
        <w:rPr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>
        <w:rPr>
          <w:szCs w:val="28"/>
        </w:rPr>
        <w:t>»</w:t>
      </w:r>
    </w:p>
    <w:p w:rsidR="00790D63" w:rsidRPr="008D13CF" w:rsidRDefault="00790D6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90D63" w:rsidRDefault="00790D63" w:rsidP="00790D63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7A1F3C">
        <w:rPr>
          <w:szCs w:val="28"/>
          <w:lang w:eastAsia="ar-SA"/>
        </w:rPr>
        <w:t xml:space="preserve">1. </w:t>
      </w:r>
      <w:r w:rsidRPr="00765065">
        <w:rPr>
          <w:szCs w:val="28"/>
          <w:lang w:eastAsia="ar-SA"/>
        </w:rPr>
        <w:t xml:space="preserve">Утвердить </w:t>
      </w:r>
      <w:r>
        <w:rPr>
          <w:szCs w:val="28"/>
          <w:lang w:eastAsia="ar-SA"/>
        </w:rPr>
        <w:t>порядок</w:t>
      </w:r>
      <w:r w:rsidRPr="00913389">
        <w:rPr>
          <w:szCs w:val="28"/>
          <w:lang w:eastAsia="ar-SA"/>
        </w:rPr>
        <w:t xml:space="preserve"> использования </w:t>
      </w:r>
      <w:r>
        <w:rPr>
          <w:color w:val="000000"/>
          <w:szCs w:val="28"/>
          <w:lang w:eastAsia="ar-SA"/>
        </w:rPr>
        <w:t>фонда капитального ремонта, сформированного в отношении многоквартирных домов, формирующих фонд капитального ремонта на счёте, счетах регионального оператора, образующего имущество регионального оператора,</w:t>
      </w:r>
      <w:r w:rsidRPr="00765065">
        <w:rPr>
          <w:szCs w:val="28"/>
          <w:lang w:eastAsia="ar-SA"/>
        </w:rPr>
        <w:t xml:space="preserve"> в соответствии с приложением к настоящему </w:t>
      </w:r>
      <w:r>
        <w:rPr>
          <w:szCs w:val="28"/>
          <w:lang w:eastAsia="ar-SA"/>
        </w:rPr>
        <w:t>п</w:t>
      </w:r>
      <w:r w:rsidRPr="00765065">
        <w:rPr>
          <w:szCs w:val="28"/>
          <w:lang w:eastAsia="ar-SA"/>
        </w:rPr>
        <w:t>остановлению</w:t>
      </w:r>
      <w:r w:rsidRPr="007A1F3C">
        <w:rPr>
          <w:szCs w:val="28"/>
          <w:lang w:eastAsia="ar-SA"/>
        </w:rPr>
        <w:t>.</w:t>
      </w:r>
    </w:p>
    <w:p w:rsidR="00790D63" w:rsidRPr="00765065" w:rsidRDefault="00790D63" w:rsidP="00790D63">
      <w:pPr>
        <w:tabs>
          <w:tab w:val="left" w:pos="1080"/>
        </w:tabs>
        <w:ind w:firstLine="709"/>
        <w:jc w:val="both"/>
        <w:rPr>
          <w:szCs w:val="28"/>
          <w:lang w:eastAsia="ar-SA"/>
        </w:rPr>
      </w:pPr>
      <w:r w:rsidRPr="007A1F3C">
        <w:rPr>
          <w:szCs w:val="28"/>
          <w:lang w:eastAsia="ar-SA"/>
        </w:rPr>
        <w:t>2. Настоящее постановление вступает в силу со дня его официального опубликования</w:t>
      </w:r>
      <w:r>
        <w:rPr>
          <w:szCs w:val="28"/>
          <w:lang w:eastAsia="ar-SA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lastRenderedPageBreak/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90D63" w:rsidRPr="00BA7C6A" w:rsidRDefault="00790D63" w:rsidP="00790D63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</w:t>
      </w:r>
      <w:r w:rsidRPr="00BA7C6A">
        <w:rPr>
          <w:szCs w:val="28"/>
        </w:rPr>
        <w:t xml:space="preserve">Приложение к постановлению </w:t>
      </w:r>
    </w:p>
    <w:p w:rsidR="00790D63" w:rsidRPr="00BA7C6A" w:rsidRDefault="00790D63" w:rsidP="00790D63">
      <w:pPr>
        <w:jc w:val="right"/>
        <w:rPr>
          <w:szCs w:val="28"/>
        </w:rPr>
      </w:pPr>
      <w:r w:rsidRPr="00BA7C6A">
        <w:rPr>
          <w:szCs w:val="28"/>
        </w:rPr>
        <w:t xml:space="preserve">Правительства Камчатского края </w:t>
      </w:r>
    </w:p>
    <w:p w:rsidR="00790D63" w:rsidRPr="00BA7C6A" w:rsidRDefault="00790D63" w:rsidP="00790D63">
      <w:pPr>
        <w:jc w:val="right"/>
        <w:rPr>
          <w:szCs w:val="28"/>
        </w:rPr>
      </w:pPr>
      <w:r w:rsidRPr="00BA7C6A">
        <w:rPr>
          <w:szCs w:val="28"/>
        </w:rPr>
        <w:t>от ________________№________</w:t>
      </w:r>
    </w:p>
    <w:p w:rsidR="00790D63" w:rsidRDefault="00790D63" w:rsidP="00790D63">
      <w:pPr>
        <w:jc w:val="center"/>
        <w:rPr>
          <w:szCs w:val="28"/>
        </w:rPr>
      </w:pPr>
    </w:p>
    <w:p w:rsidR="00790D63" w:rsidRPr="00AA303D" w:rsidRDefault="00790D63" w:rsidP="00790D63">
      <w:pPr>
        <w:jc w:val="center"/>
        <w:rPr>
          <w:szCs w:val="28"/>
        </w:rPr>
      </w:pPr>
      <w:r w:rsidRPr="00AA303D">
        <w:rPr>
          <w:szCs w:val="28"/>
        </w:rPr>
        <w:t>Порядок</w:t>
      </w:r>
    </w:p>
    <w:p w:rsidR="00790D63" w:rsidRDefault="00790D63" w:rsidP="00790D6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313D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фонда капитального ремонта, сформированного в отношении многоквартирных домов, формирующих фонд капитального ремонта на счёте, счетах регионального оператора, образующего имущество регионального оператора</w:t>
      </w:r>
    </w:p>
    <w:p w:rsidR="00790D63" w:rsidRDefault="00790D63" w:rsidP="00790D6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90D63" w:rsidRPr="00AA303D" w:rsidRDefault="00790D63" w:rsidP="00790D63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03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AA303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фонда капитального ремонта, сформированного в отношении многоквартирных домов, формирующих фонд капитального ремонта на счёте, счетах регионального оператора, образующего имущество регионального оператора</w:t>
      </w:r>
      <w:r w:rsidRPr="00AA303D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частью 2 статьи 179 Жилищного кодекса Российской Федерации и частью 2 статьи</w:t>
      </w:r>
      <w:r w:rsidRPr="004313D6">
        <w:rPr>
          <w:rFonts w:ascii="Times New Roman" w:hAnsi="Times New Roman" w:cs="Times New Roman"/>
          <w:sz w:val="28"/>
          <w:szCs w:val="28"/>
        </w:rPr>
        <w:t xml:space="preserve"> 19 Закона Камчатского края от 02.12.2013 № 359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13D6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13D6">
        <w:rPr>
          <w:rFonts w:ascii="Times New Roman" w:hAnsi="Times New Roman" w:cs="Times New Roman"/>
          <w:sz w:val="28"/>
          <w:szCs w:val="28"/>
        </w:rPr>
        <w:t xml:space="preserve"> (далее – Закон от 02.12.2013 № 359) и регламентирует деятельность специализированной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13D6">
        <w:rPr>
          <w:rFonts w:ascii="Times New Roman" w:hAnsi="Times New Roman" w:cs="Times New Roman"/>
          <w:sz w:val="28"/>
          <w:szCs w:val="28"/>
        </w:rPr>
        <w:t xml:space="preserve">Фонд капитального ремонта </w:t>
      </w:r>
      <w:r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Pr="004313D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» (далее - р</w:t>
      </w:r>
      <w:r w:rsidRPr="004313D6">
        <w:rPr>
          <w:rFonts w:ascii="Times New Roman" w:hAnsi="Times New Roman" w:cs="Times New Roman"/>
          <w:sz w:val="28"/>
          <w:szCs w:val="28"/>
        </w:rPr>
        <w:t xml:space="preserve">егиональный оператор) </w:t>
      </w:r>
      <w:r w:rsidRPr="00A35FA6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 w:rsidRPr="00A35FA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имущества </w:t>
      </w:r>
      <w:r w:rsidRPr="0016172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регионального оператора, в </w:t>
      </w:r>
      <w:r w:rsidRPr="00AA303D">
        <w:rPr>
          <w:rFonts w:ascii="Times New Roman" w:hAnsi="Times New Roman" w:cs="Times New Roman"/>
          <w:sz w:val="28"/>
          <w:szCs w:val="28"/>
          <w:lang w:eastAsia="ar-SA"/>
        </w:rPr>
        <w:t>части</w:t>
      </w:r>
      <w:r w:rsidRPr="0016172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фонда капитального ремонта, сформированного в отношении многоквартирных домов, формирующих фонд капитального ремонта на счете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AA303D">
        <w:rPr>
          <w:rFonts w:ascii="Times New Roman" w:hAnsi="Times New Roman" w:cs="Times New Roman"/>
          <w:bCs/>
          <w:sz w:val="28"/>
          <w:szCs w:val="28"/>
          <w:lang w:eastAsia="ar-SA"/>
        </w:rPr>
        <w:t>счетах регионального оператора.</w:t>
      </w:r>
    </w:p>
    <w:p w:rsidR="00790D63" w:rsidRPr="00525F3F" w:rsidRDefault="00790D63" w:rsidP="00790D63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F3F">
        <w:rPr>
          <w:rFonts w:ascii="Times New Roman" w:hAnsi="Times New Roman" w:cs="Times New Roman"/>
          <w:bCs/>
          <w:sz w:val="28"/>
          <w:szCs w:val="28"/>
        </w:rPr>
        <w:t>Фонд капитального ремонта общего имущества в многоквартирном доме (далее - фонд капитального ремонта) образуют взносы на капитальный ремонт общего имущества в многоквартирном доме, уплаченные собственниками помещений в многоквартирном доме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F3F">
        <w:rPr>
          <w:rFonts w:ascii="Times New Roman" w:hAnsi="Times New Roman" w:cs="Times New Roman"/>
          <w:bCs/>
          <w:sz w:val="28"/>
          <w:szCs w:val="28"/>
        </w:rPr>
        <w:t xml:space="preserve">(далее - взносы на капитальный ремонт), пени, уплаченные собственниками таких помещений в связи с ненадлежащим исполнением ими обязанности по уплате взносов на капитальный ремонт, проценты, начисленные за пользование денежными средствами, находящимися </w:t>
      </w:r>
      <w:r>
        <w:rPr>
          <w:rFonts w:ascii="Times New Roman" w:hAnsi="Times New Roman" w:cs="Times New Roman"/>
          <w:bCs/>
          <w:sz w:val="28"/>
          <w:szCs w:val="28"/>
        </w:rPr>
        <w:t>на счё</w:t>
      </w:r>
      <w:r w:rsidRPr="00525F3F">
        <w:rPr>
          <w:rFonts w:ascii="Times New Roman" w:hAnsi="Times New Roman" w:cs="Times New Roman"/>
          <w:bCs/>
          <w:sz w:val="28"/>
          <w:szCs w:val="28"/>
        </w:rPr>
        <w:t>те</w:t>
      </w:r>
      <w:r>
        <w:rPr>
          <w:rFonts w:ascii="Times New Roman" w:hAnsi="Times New Roman" w:cs="Times New Roman"/>
          <w:bCs/>
          <w:sz w:val="28"/>
          <w:szCs w:val="28"/>
        </w:rPr>
        <w:t>, счетах</w:t>
      </w:r>
      <w:r w:rsidRPr="00525F3F">
        <w:rPr>
          <w:rFonts w:ascii="Times New Roman" w:hAnsi="Times New Roman" w:cs="Times New Roman"/>
          <w:bCs/>
          <w:sz w:val="28"/>
          <w:szCs w:val="28"/>
        </w:rPr>
        <w:t xml:space="preserve"> регионального оператора, на котором осуществляется формирование фонда капитального ремонта, доходы, полученные от размещения средств фонда капитального ремонта, средства финансовой поддержки, предоста</w:t>
      </w:r>
      <w:r>
        <w:rPr>
          <w:rFonts w:ascii="Times New Roman" w:hAnsi="Times New Roman" w:cs="Times New Roman"/>
          <w:bCs/>
          <w:sz w:val="28"/>
          <w:szCs w:val="28"/>
        </w:rPr>
        <w:t>вленной в соответствии со статьё</w:t>
      </w:r>
      <w:r w:rsidRPr="00525F3F">
        <w:rPr>
          <w:rFonts w:ascii="Times New Roman" w:hAnsi="Times New Roman" w:cs="Times New Roman"/>
          <w:bCs/>
          <w:sz w:val="28"/>
          <w:szCs w:val="28"/>
        </w:rPr>
        <w:t>й 191 Жилищного кодекса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(далее - ЖК РФ)</w:t>
      </w:r>
      <w:r w:rsidRPr="00525F3F">
        <w:rPr>
          <w:rFonts w:ascii="Times New Roman" w:hAnsi="Times New Roman" w:cs="Times New Roman"/>
          <w:bCs/>
          <w:sz w:val="28"/>
          <w:szCs w:val="28"/>
        </w:rPr>
        <w:t>, а также кредитные и (или) иные заемные средства, привлеченные собственниками помещений в многоквартирном доме на проведение капитального ремонта общего имущества в многоквартирном доме.</w:t>
      </w:r>
    </w:p>
    <w:p w:rsidR="00790D63" w:rsidRDefault="00790D63" w:rsidP="00790D63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7D2">
        <w:rPr>
          <w:rFonts w:ascii="Times New Roman" w:hAnsi="Times New Roman" w:cs="Times New Roman"/>
          <w:bCs/>
          <w:sz w:val="28"/>
          <w:szCs w:val="28"/>
        </w:rPr>
        <w:t>Средства фонда капитального ремонта использ</w:t>
      </w:r>
      <w:r>
        <w:rPr>
          <w:rFonts w:ascii="Times New Roman" w:hAnsi="Times New Roman" w:cs="Times New Roman"/>
          <w:bCs/>
          <w:sz w:val="28"/>
          <w:szCs w:val="28"/>
        </w:rPr>
        <w:t>уются</w:t>
      </w:r>
      <w:r w:rsidRPr="00DD17D2">
        <w:rPr>
          <w:rFonts w:ascii="Times New Roman" w:hAnsi="Times New Roman" w:cs="Times New Roman"/>
          <w:bCs/>
          <w:sz w:val="28"/>
          <w:szCs w:val="28"/>
        </w:rPr>
        <w:t xml:space="preserve"> на цели, предусмотренные частью 1 статьи 174 </w:t>
      </w:r>
      <w:r>
        <w:rPr>
          <w:rFonts w:ascii="Times New Roman" w:hAnsi="Times New Roman" w:cs="Times New Roman"/>
          <w:bCs/>
          <w:sz w:val="28"/>
          <w:szCs w:val="28"/>
        </w:rPr>
        <w:t>ЖК РФ, при этом з</w:t>
      </w:r>
      <w:r w:rsidRPr="00DD17D2">
        <w:rPr>
          <w:rFonts w:ascii="Times New Roman" w:hAnsi="Times New Roman" w:cs="Times New Roman"/>
          <w:bCs/>
          <w:sz w:val="28"/>
          <w:szCs w:val="28"/>
        </w:rPr>
        <w:t xml:space="preserve">а счет средств фонда капитального ремонта в пределах суммы, сформированной исходя из минимального размера взноса на капитальный ремонт, </w:t>
      </w:r>
      <w:r>
        <w:rPr>
          <w:rFonts w:ascii="Times New Roman" w:hAnsi="Times New Roman" w:cs="Times New Roman"/>
          <w:bCs/>
          <w:sz w:val="28"/>
          <w:szCs w:val="28"/>
        </w:rPr>
        <w:t xml:space="preserve">ежегодно </w:t>
      </w:r>
      <w:r w:rsidRPr="00DD17D2">
        <w:rPr>
          <w:rFonts w:ascii="Times New Roman" w:hAnsi="Times New Roman" w:cs="Times New Roman"/>
          <w:bCs/>
          <w:sz w:val="28"/>
          <w:szCs w:val="28"/>
        </w:rPr>
        <w:t>устан</w:t>
      </w:r>
      <w:r>
        <w:rPr>
          <w:rFonts w:ascii="Times New Roman" w:hAnsi="Times New Roman" w:cs="Times New Roman"/>
          <w:bCs/>
          <w:sz w:val="28"/>
          <w:szCs w:val="28"/>
        </w:rPr>
        <w:t>авливаемого</w:t>
      </w:r>
      <w:r w:rsidRPr="00DD1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Pr="00DD17D2">
        <w:rPr>
          <w:rFonts w:ascii="Times New Roman" w:hAnsi="Times New Roman" w:cs="Times New Roman"/>
          <w:bCs/>
          <w:sz w:val="28"/>
          <w:szCs w:val="28"/>
        </w:rPr>
        <w:t>Камчатского края, осуществля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DD17D2">
        <w:rPr>
          <w:rFonts w:ascii="Times New Roman" w:hAnsi="Times New Roman" w:cs="Times New Roman"/>
          <w:bCs/>
          <w:sz w:val="28"/>
          <w:szCs w:val="28"/>
        </w:rPr>
        <w:t xml:space="preserve"> финансирование работ, предусмотренных </w:t>
      </w:r>
      <w:hyperlink r:id="rId9" w:anchor="/document/12138291/entry/1661" w:history="1">
        <w:r w:rsidRPr="00DD17D2">
          <w:rPr>
            <w:rFonts w:ascii="Times New Roman" w:hAnsi="Times New Roman" w:cs="Times New Roman"/>
            <w:bCs/>
            <w:sz w:val="28"/>
            <w:szCs w:val="28"/>
          </w:rPr>
          <w:t xml:space="preserve">частью 1 </w:t>
        </w:r>
        <w:r w:rsidRPr="00DD17D2">
          <w:rPr>
            <w:rFonts w:ascii="Times New Roman" w:hAnsi="Times New Roman" w:cs="Times New Roman"/>
            <w:bCs/>
            <w:sz w:val="28"/>
            <w:szCs w:val="28"/>
          </w:rPr>
          <w:lastRenderedPageBreak/>
          <w:t>статьи 166</w:t>
        </w:r>
      </w:hyperlink>
      <w:r w:rsidRPr="00DD17D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ЖК РФ</w:t>
      </w:r>
      <w:r w:rsidRPr="00DD17D2">
        <w:rPr>
          <w:rFonts w:ascii="Times New Roman" w:hAnsi="Times New Roman" w:cs="Times New Roman"/>
          <w:bCs/>
          <w:sz w:val="28"/>
          <w:szCs w:val="28"/>
        </w:rPr>
        <w:t>, и работ, предусмотренных частью 2 статьи 9 Закона от 02.12.2013 № 359.</w:t>
      </w:r>
    </w:p>
    <w:p w:rsidR="00790D63" w:rsidRDefault="00790D63" w:rsidP="00790D63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2F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Средства государственной поддержки, предоставляемой из краевого бюджета, средства муниципальной поддержки, предоставляемой из бюджетов муниципальных образований в Камчатском крае, могут быть направлены на оплату стоимости выполненных работ по капитальному ремонту сверх предельной стоимости работ по капитальному ремонту, установленной постановлением Правительства Камчатского края, и финансируемой за счёт минимального размера взноса на капитальный ремонт в случае, если такое превышение экономически обосновано проектно-сметной документацией в соответствии с проектным решением. </w:t>
      </w:r>
    </w:p>
    <w:p w:rsidR="00790D63" w:rsidRDefault="00790D63" w:rsidP="00790D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Доходы в виде процентов, начисленных за пользование денежными средствами, находящимися на счёте, счетах регионального оператора, на которых осуществляется формирование фондов капитального ремонта, а также доходы в виде процентов, полученные от размещения временно свободных средств фонда капитального ремонта, </w:t>
      </w:r>
      <w:r w:rsidRPr="00C4425E">
        <w:rPr>
          <w:bCs/>
          <w:szCs w:val="28"/>
        </w:rPr>
        <w:t>средств финансовой поддержки, предоставленной в соответствии со статьей 191 Ж</w:t>
      </w:r>
      <w:r>
        <w:rPr>
          <w:bCs/>
          <w:szCs w:val="28"/>
        </w:rPr>
        <w:t>К РФ</w:t>
      </w:r>
      <w:r>
        <w:rPr>
          <w:szCs w:val="28"/>
        </w:rPr>
        <w:t xml:space="preserve"> (далее - </w:t>
      </w:r>
      <w:r w:rsidRPr="00C4425E">
        <w:rPr>
          <w:bCs/>
          <w:szCs w:val="28"/>
        </w:rPr>
        <w:t>доходы, полученные по банковским операциям</w:t>
      </w:r>
      <w:r>
        <w:rPr>
          <w:bCs/>
          <w:szCs w:val="28"/>
        </w:rPr>
        <w:t>)</w:t>
      </w:r>
      <w:r>
        <w:rPr>
          <w:szCs w:val="28"/>
        </w:rPr>
        <w:t>, зачисляются только на счёт, счета регионального оператора, на которых осуществляется формирование фондов капитального ремонта.</w:t>
      </w:r>
    </w:p>
    <w:p w:rsidR="00790D63" w:rsidRDefault="00790D63" w:rsidP="00790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Доходы, полученные по банковским операциям в текущем году, а также </w:t>
      </w:r>
      <w:r>
        <w:rPr>
          <w:rFonts w:ascii="Times New Roman" w:hAnsi="Times New Roman" w:cs="Times New Roman"/>
          <w:bCs/>
          <w:sz w:val="28"/>
          <w:szCs w:val="28"/>
        </w:rPr>
        <w:t>остатки средств, полученные</w:t>
      </w:r>
      <w:r w:rsidRPr="002C26EA">
        <w:rPr>
          <w:rFonts w:ascii="Times New Roman" w:hAnsi="Times New Roman" w:cs="Times New Roman"/>
          <w:bCs/>
          <w:sz w:val="28"/>
          <w:szCs w:val="28"/>
        </w:rPr>
        <w:t xml:space="preserve"> в виде доходов по банковским операциям, не использованные в предшествующие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не обремененные исполнением </w:t>
      </w:r>
      <w:r w:rsidRPr="002C26EA">
        <w:rPr>
          <w:rFonts w:ascii="Times New Roman" w:hAnsi="Times New Roman" w:cs="Times New Roman"/>
          <w:bCs/>
          <w:sz w:val="28"/>
          <w:szCs w:val="28"/>
        </w:rPr>
        <w:t>обязательств по финансированию капитального ремонта общего имущества в многоквартирных домах в текущем году,</w:t>
      </w:r>
      <w:r>
        <w:rPr>
          <w:rFonts w:ascii="Times New Roman" w:hAnsi="Times New Roman" w:cs="Times New Roman"/>
          <w:sz w:val="28"/>
          <w:szCs w:val="28"/>
        </w:rPr>
        <w:t xml:space="preserve"> подлежат использованию на цели проведения капитального ремонта в следующем году в соответствии с утвержденными краткосрочными планами муниципальных образований в Камчатском крае.</w:t>
      </w:r>
    </w:p>
    <w:p w:rsidR="00790D63" w:rsidRPr="00DB4EC8" w:rsidRDefault="00790D63" w:rsidP="00790D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4EC8">
        <w:rPr>
          <w:szCs w:val="28"/>
        </w:rPr>
        <w:t>Доходы, полученные по бан</w:t>
      </w:r>
      <w:r>
        <w:rPr>
          <w:szCs w:val="28"/>
        </w:rPr>
        <w:t>ковским операциям, накопленные р</w:t>
      </w:r>
      <w:r w:rsidRPr="00DB4EC8">
        <w:rPr>
          <w:szCs w:val="28"/>
        </w:rPr>
        <w:t>егиональным оператором до вступления в силу настоящего Порядка, могут быть использованы на цели проведения капитального ремонта в 2020</w:t>
      </w:r>
      <w:r>
        <w:rPr>
          <w:szCs w:val="28"/>
        </w:rPr>
        <w:t xml:space="preserve"> году, в соответствии с утверждё</w:t>
      </w:r>
      <w:r w:rsidRPr="00DB4EC8">
        <w:rPr>
          <w:szCs w:val="28"/>
        </w:rPr>
        <w:t xml:space="preserve">нными краткосрочными планами муниципальных образований. </w:t>
      </w:r>
    </w:p>
    <w:p w:rsidR="00790D63" w:rsidRDefault="00790D63" w:rsidP="00790D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Распределение между муниципальными образованиями д</w:t>
      </w:r>
      <w:r w:rsidRPr="000D54CB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0D54CB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54CB">
        <w:rPr>
          <w:rFonts w:ascii="Times New Roman" w:hAnsi="Times New Roman" w:cs="Times New Roman"/>
          <w:sz w:val="28"/>
          <w:szCs w:val="28"/>
        </w:rPr>
        <w:t xml:space="preserve"> по банковским операциям, </w:t>
      </w:r>
      <w:r>
        <w:rPr>
          <w:rFonts w:ascii="Times New Roman" w:hAnsi="Times New Roman" w:cs="Times New Roman"/>
          <w:sz w:val="28"/>
          <w:szCs w:val="28"/>
        </w:rPr>
        <w:t>производится по следующей формуле:</w:t>
      </w:r>
    </w:p>
    <w:p w:rsidR="00790D63" w:rsidRDefault="00790D63" w:rsidP="00790D6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0D63" w:rsidRDefault="00790D63" w:rsidP="00790D6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4785A">
        <w:rPr>
          <w:rFonts w:ascii="Times New Roman" w:hAnsi="Times New Roman" w:cs="Times New Roman"/>
          <w:sz w:val="28"/>
          <w:szCs w:val="28"/>
          <w:vertAlign w:val="subscript"/>
        </w:rPr>
        <w:t>%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mo</w:t>
      </w:r>
      <w:r w:rsidRPr="0044785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4785A">
        <w:rPr>
          <w:rFonts w:ascii="Times New Roman" w:hAnsi="Times New Roman" w:cs="Times New Roman"/>
          <w:sz w:val="28"/>
          <w:szCs w:val="28"/>
          <w:vertAlign w:val="subscript"/>
        </w:rPr>
        <w:t>%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fkr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785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mo</w:t>
      </w:r>
      <w:r>
        <w:rPr>
          <w:rFonts w:ascii="Times New Roman" w:hAnsi="Times New Roman" w:cs="Times New Roman"/>
          <w:sz w:val="28"/>
          <w:szCs w:val="28"/>
        </w:rPr>
        <w:t xml:space="preserve"> х 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mp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790D63" w:rsidRDefault="00790D63" w:rsidP="00790D6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0D63" w:rsidRDefault="00790D63" w:rsidP="00790D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4785A">
        <w:rPr>
          <w:rFonts w:ascii="Times New Roman" w:hAnsi="Times New Roman" w:cs="Times New Roman"/>
          <w:sz w:val="28"/>
          <w:szCs w:val="28"/>
          <w:vertAlign w:val="subscript"/>
        </w:rPr>
        <w:t>%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fkr</w:t>
      </w:r>
      <w:r>
        <w:rPr>
          <w:rFonts w:ascii="Times New Roman" w:hAnsi="Times New Roman" w:cs="Times New Roman"/>
          <w:sz w:val="28"/>
          <w:szCs w:val="28"/>
        </w:rPr>
        <w:t xml:space="preserve"> – объем д</w:t>
      </w:r>
      <w:r w:rsidRPr="000D54CB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0D54CB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54CB">
        <w:rPr>
          <w:rFonts w:ascii="Times New Roman" w:hAnsi="Times New Roman" w:cs="Times New Roman"/>
          <w:sz w:val="28"/>
          <w:szCs w:val="28"/>
        </w:rPr>
        <w:t xml:space="preserve"> по банковским операциям</w:t>
      </w:r>
      <w:r w:rsidRPr="0098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региональным оператором, подлежащих распределению между муниципальными образованиями в Камчатском крае;</w:t>
      </w:r>
    </w:p>
    <w:p w:rsidR="00790D63" w:rsidRPr="00B809C9" w:rsidRDefault="00790D63" w:rsidP="00790D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площадь жилых (нежилых) помещений многоквартирных домов, включё</w:t>
      </w:r>
      <w:r w:rsidRPr="00B809C9">
        <w:rPr>
          <w:rFonts w:ascii="Times New Roman" w:hAnsi="Times New Roman" w:cs="Times New Roman"/>
          <w:sz w:val="28"/>
          <w:szCs w:val="28"/>
        </w:rPr>
        <w:t>нных в региональную программу капитального ремонта на начало года и формирующих ф</w:t>
      </w:r>
      <w:r>
        <w:rPr>
          <w:rFonts w:ascii="Times New Roman" w:hAnsi="Times New Roman" w:cs="Times New Roman"/>
          <w:sz w:val="28"/>
          <w:szCs w:val="28"/>
        </w:rPr>
        <w:t>онды капитального ремонта на счё</w:t>
      </w:r>
      <w:r w:rsidRPr="00B809C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счетах р</w:t>
      </w:r>
      <w:r w:rsidRPr="00B809C9">
        <w:rPr>
          <w:rFonts w:ascii="Times New Roman" w:hAnsi="Times New Roman" w:cs="Times New Roman"/>
          <w:sz w:val="28"/>
          <w:szCs w:val="28"/>
        </w:rPr>
        <w:t>егионального оператора;</w:t>
      </w:r>
    </w:p>
    <w:p w:rsidR="00790D63" w:rsidRPr="00B809C9" w:rsidRDefault="00790D63" w:rsidP="00790D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C9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B809C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mo</w:t>
      </w:r>
      <w:r w:rsidRPr="00B809C9">
        <w:rPr>
          <w:rFonts w:ascii="Times New Roman" w:hAnsi="Times New Roman" w:cs="Times New Roman"/>
          <w:sz w:val="28"/>
          <w:szCs w:val="28"/>
        </w:rPr>
        <w:t xml:space="preserve"> – площадь жилых (нежилых) помещений многоквартирных домов, находящихся на территории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образования, включё</w:t>
      </w:r>
      <w:r w:rsidRPr="00B809C9">
        <w:rPr>
          <w:rFonts w:ascii="Times New Roman" w:hAnsi="Times New Roman" w:cs="Times New Roman"/>
          <w:sz w:val="28"/>
          <w:szCs w:val="28"/>
        </w:rPr>
        <w:t>нных в региональную программу капитального ремонта на начало года и формирующих ф</w:t>
      </w:r>
      <w:r>
        <w:rPr>
          <w:rFonts w:ascii="Times New Roman" w:hAnsi="Times New Roman" w:cs="Times New Roman"/>
          <w:sz w:val="28"/>
          <w:szCs w:val="28"/>
        </w:rPr>
        <w:t>онды капитального ремонта на счё</w:t>
      </w:r>
      <w:r w:rsidRPr="00B809C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счетах р</w:t>
      </w:r>
      <w:r w:rsidRPr="00B809C9">
        <w:rPr>
          <w:rFonts w:ascii="Times New Roman" w:hAnsi="Times New Roman" w:cs="Times New Roman"/>
          <w:sz w:val="28"/>
          <w:szCs w:val="28"/>
        </w:rPr>
        <w:t>егионального оператора;</w:t>
      </w:r>
    </w:p>
    <w:p w:rsidR="00790D63" w:rsidRDefault="00790D63" w:rsidP="00790D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  <w:lang w:val="en-US"/>
        </w:rPr>
        <w:t>mp</w:t>
      </w:r>
      <w:r>
        <w:rPr>
          <w:szCs w:val="28"/>
        </w:rPr>
        <w:t xml:space="preserve"> - </w:t>
      </w:r>
      <w:r w:rsidRPr="00B23A88">
        <w:rPr>
          <w:szCs w:val="28"/>
        </w:rPr>
        <w:t>коэффициент, учитывающий величину предельной стоимости услуг и (или) работ по капитальному ремонту общего имущества в многоквартирном доме на 1 кв. м. площади жилых и нежилых помещений в многоквартирных домах соответствующего муниципального образования в Камчатском крае</w:t>
      </w:r>
      <w:r>
        <w:rPr>
          <w:szCs w:val="28"/>
        </w:rPr>
        <w:t>:</w:t>
      </w:r>
    </w:p>
    <w:p w:rsidR="00790D63" w:rsidRPr="0044785A" w:rsidRDefault="00790D63" w:rsidP="00790D6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8"/>
        <w:gridCol w:w="3510"/>
      </w:tblGrid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Муниципальное образование в Камчатском крае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Коэффициент</w:t>
            </w:r>
            <w:r w:rsidRPr="003B6B78">
              <w:rPr>
                <w:szCs w:val="28"/>
                <w:lang w:val="en-US"/>
              </w:rPr>
              <w:t xml:space="preserve"> </w:t>
            </w:r>
            <w:r w:rsidRPr="003B6B78">
              <w:rPr>
                <w:szCs w:val="28"/>
              </w:rPr>
              <w:t>предельной стоимости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36"/>
              <w:rPr>
                <w:szCs w:val="28"/>
              </w:rPr>
            </w:pPr>
            <w:r w:rsidRPr="003B6B78">
              <w:rPr>
                <w:szCs w:val="28"/>
              </w:rPr>
              <w:t>Вилючинский городской округ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0,758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32"/>
              <w:rPr>
                <w:szCs w:val="28"/>
              </w:rPr>
            </w:pPr>
            <w:r w:rsidRPr="003B6B78">
              <w:rPr>
                <w:szCs w:val="28"/>
              </w:rPr>
              <w:t>Петропавловск-Камчатский городской округ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1,011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29"/>
              <w:rPr>
                <w:szCs w:val="28"/>
              </w:rPr>
            </w:pPr>
            <w:r w:rsidRPr="003B6B78">
              <w:rPr>
                <w:szCs w:val="28"/>
              </w:rPr>
              <w:t>Елизовский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0,872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29"/>
              <w:rPr>
                <w:szCs w:val="28"/>
              </w:rPr>
            </w:pPr>
            <w:r w:rsidRPr="003B6B78">
              <w:rPr>
                <w:szCs w:val="28"/>
              </w:rPr>
              <w:t>Усть-Большерецкий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0,97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22"/>
              <w:rPr>
                <w:szCs w:val="28"/>
              </w:rPr>
            </w:pPr>
            <w:r w:rsidRPr="003B6B78">
              <w:rPr>
                <w:szCs w:val="28"/>
              </w:rPr>
              <w:t>Городской округ "поселок Палана"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1,426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22"/>
              <w:rPr>
                <w:szCs w:val="28"/>
              </w:rPr>
            </w:pPr>
            <w:r w:rsidRPr="003B6B78">
              <w:rPr>
                <w:szCs w:val="28"/>
              </w:rPr>
              <w:t>Мильковский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1,061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22"/>
              <w:rPr>
                <w:szCs w:val="28"/>
              </w:rPr>
            </w:pPr>
            <w:r w:rsidRPr="003B6B78">
              <w:rPr>
                <w:szCs w:val="28"/>
              </w:rPr>
              <w:t>Усть-Камчатский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1,284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14"/>
              <w:rPr>
                <w:szCs w:val="28"/>
              </w:rPr>
            </w:pPr>
            <w:r w:rsidRPr="003B6B78">
              <w:rPr>
                <w:szCs w:val="28"/>
              </w:rPr>
              <w:t>Карагинский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1,440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18"/>
              <w:rPr>
                <w:szCs w:val="28"/>
              </w:rPr>
            </w:pPr>
            <w:r w:rsidRPr="003B6B78">
              <w:rPr>
                <w:szCs w:val="28"/>
              </w:rPr>
              <w:t>Тигильский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1,423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18"/>
              <w:rPr>
                <w:szCs w:val="28"/>
              </w:rPr>
            </w:pPr>
            <w:r w:rsidRPr="003B6B78">
              <w:rPr>
                <w:szCs w:val="28"/>
              </w:rPr>
              <w:t>Олюторский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1,254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11"/>
              <w:rPr>
                <w:szCs w:val="28"/>
              </w:rPr>
            </w:pPr>
            <w:r w:rsidRPr="003B6B78">
              <w:rPr>
                <w:szCs w:val="28"/>
              </w:rPr>
              <w:t>Алеутский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1,642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7"/>
              <w:rPr>
                <w:szCs w:val="28"/>
              </w:rPr>
            </w:pPr>
            <w:r w:rsidRPr="003B6B78">
              <w:rPr>
                <w:szCs w:val="28"/>
              </w:rPr>
              <w:t>Быстринский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1,601</w:t>
            </w:r>
          </w:p>
        </w:tc>
      </w:tr>
      <w:tr w:rsidR="00790D63" w:rsidRPr="003B6B78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7"/>
              <w:rPr>
                <w:szCs w:val="28"/>
              </w:rPr>
            </w:pPr>
            <w:r w:rsidRPr="003B6B78">
              <w:rPr>
                <w:szCs w:val="28"/>
              </w:rPr>
              <w:t>Соболевский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1,190</w:t>
            </w:r>
          </w:p>
        </w:tc>
      </w:tr>
      <w:tr w:rsidR="00790D63" w:rsidRPr="001A4272" w:rsidTr="002562A6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ind w:left="4"/>
              <w:rPr>
                <w:szCs w:val="28"/>
              </w:rPr>
            </w:pPr>
            <w:r w:rsidRPr="003B6B78">
              <w:rPr>
                <w:szCs w:val="28"/>
              </w:rPr>
              <w:t>Пенжинский муниципальный район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3B6B78" w:rsidRDefault="00790D63" w:rsidP="002562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B6B78">
              <w:rPr>
                <w:szCs w:val="28"/>
              </w:rPr>
              <w:t>3,393</w:t>
            </w:r>
          </w:p>
        </w:tc>
      </w:tr>
    </w:tbl>
    <w:p w:rsidR="00790D63" w:rsidRPr="0044785A" w:rsidRDefault="00790D63" w:rsidP="00790D6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0D63" w:rsidRDefault="00790D63" w:rsidP="00790D63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63" w:rsidRDefault="00790D63" w:rsidP="00790D63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63" w:rsidRDefault="00790D63" w:rsidP="00790D63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63" w:rsidRDefault="00790D63" w:rsidP="00790D63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AD" w:rsidRDefault="00A00BAD" w:rsidP="00342D13">
      <w:r>
        <w:separator/>
      </w:r>
    </w:p>
  </w:endnote>
  <w:endnote w:type="continuationSeparator" w:id="0">
    <w:p w:rsidR="00A00BAD" w:rsidRDefault="00A00BA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AD" w:rsidRDefault="00A00BAD" w:rsidP="00342D13">
      <w:r>
        <w:separator/>
      </w:r>
    </w:p>
  </w:footnote>
  <w:footnote w:type="continuationSeparator" w:id="0">
    <w:p w:rsidR="00A00BAD" w:rsidRDefault="00A00BA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C7F"/>
    <w:multiLevelType w:val="hybridMultilevel"/>
    <w:tmpl w:val="76287E4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0D63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0BAD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90D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5326-361C-4C27-8D92-10ACC54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7814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Конькова Елена Вячеславовна</cp:lastModifiedBy>
  <cp:revision>2</cp:revision>
  <cp:lastPrinted>2020-05-08T01:33:00Z</cp:lastPrinted>
  <dcterms:created xsi:type="dcterms:W3CDTF">2020-08-26T03:24:00Z</dcterms:created>
  <dcterms:modified xsi:type="dcterms:W3CDTF">2020-08-26T03:24:00Z</dcterms:modified>
</cp:coreProperties>
</file>