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47"/>
      </w:tblGrid>
      <w:tr>
        <w:tc>
          <w:tcPr>
            <w:tcW w:type="dxa" w:w="974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firstLine="0" w:left="30"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постановлению Правительства Камчатского края 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 изменения, д</w:t>
      </w:r>
      <w:r>
        <w:rPr>
          <w:rFonts w:ascii="Times New Roman" w:hAnsi="Times New Roman"/>
          <w:sz w:val="28"/>
        </w:rPr>
        <w:t xml:space="preserve">ополнив часть 29 абзацами следующего содержания: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должности.».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843"/>
          <w:hidden w:val="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head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3_ch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Plain Text"/>
    <w:basedOn w:val="Style_3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2024-07-30T05:08:50Z</dcterms:modified>
</cp:coreProperties>
</file>