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hidden="0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9" cy="80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so-position-horizontal:center;mso-position-vertical-relative:text;margin-top:0.8pt;mso-position-vertical:absolute;width:51.0pt;height:63.6pt;" wrapcoords="0 0 0 96699 97060 96699 97060 0 0 0">
                <v:path textboxrect="0,0,0,0"/>
                <v:imagedata r:id="rId9" o:title=""/>
              </v:shape>
            </w:pict>
          </mc:Fallback>
        </mc:AlternateContent>
      </w:r>
      <w:r/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32"/>
          <w:szCs w:val="32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  <w:t xml:space="preserve">МИНИСТЕРСТВО ЗДРАВООХРАНЕНИЯ </w:t>
      </w: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  <w:t xml:space="preserve">КАМЧАТСКОГО КРАЯ</w:t>
      </w: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32"/>
          <w:szCs w:val="32"/>
          <w:lang w:eastAsia="ru-RU"/>
        </w:rPr>
      </w:r>
      <w:r>
        <w:rPr>
          <w:rFonts w:ascii="Times New Roman" w:hAnsi="Times New Roman" w:cs="Times New Roman" w:eastAsia="Times New Roman"/>
          <w:sz w:val="32"/>
          <w:szCs w:val="32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both"/>
        <w:spacing w:lineRule="auto" w:line="276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>
        <w:trPr/>
        <w:tc>
          <w:tcPr>
            <w:tcW w:w="1985" w:type="dxa"/>
            <w:textDirection w:val="lrTb"/>
            <w:noWrap w:val="false"/>
          </w:tcPr>
          <w:p>
            <w:pPr>
              <w:ind w:right="34"/>
              <w:jc w:val="center"/>
              <w:spacing w:lineRule="auto" w:line="276" w:after="0"/>
              <w:rPr>
                <w:rFonts w:ascii="Times New Roman" w:hAnsi="Times New Roman" w:cs="Times New Roman"/>
              </w:rPr>
            </w:pPr>
            <w:r/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]</w:t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right"/>
              <w:spacing w:lineRule="auto" w:line="276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lineRule="auto" w:line="276" w:after="0"/>
              <w:rPr>
                <w:rFonts w:ascii="Times New Roman" w:hAnsi="Times New Roman" w:cs="Times New Roman"/>
              </w:rPr>
            </w:pPr>
            <w:r/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]</w:t>
            </w:r>
            <w:bookmarkEnd w:id="1"/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</w:tr>
    </w:tbl>
    <w:p>
      <w:pPr>
        <w:ind w:right="5526"/>
        <w:jc w:val="center"/>
        <w:spacing w:lineRule="auto" w:line="276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г. Петропавловск-Камчатский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579"/>
        <w:ind w:firstLine="709"/>
        <w:jc w:val="center"/>
        <w:spacing w:after="0" w:afterAutospacing="0" w:before="0" w:before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/>
    </w:p>
    <w:p>
      <w:pPr>
        <w:pStyle w:val="579"/>
        <w:jc w:val="center"/>
        <w:spacing w:after="0" w:afterAutospacing="0" w:before="0" w:beforeAutospacing="0"/>
      </w:pPr>
      <w:r>
        <w:rPr>
          <w:b/>
          <w:bCs/>
          <w:color w:val="000000"/>
          <w:sz w:val="28"/>
          <w:szCs w:val="28"/>
        </w:rPr>
        <w:t xml:space="preserve">О внесении изменений в приказ Мин</w:t>
      </w:r>
      <w:r>
        <w:rPr>
          <w:b/>
          <w:bCs/>
          <w:color w:val="000000"/>
          <w:sz w:val="28"/>
          <w:szCs w:val="28"/>
        </w:rPr>
        <w:t xml:space="preserve">истерства здравоохранения</w:t>
      </w:r>
      <w:r>
        <w:rPr>
          <w:b/>
          <w:bCs/>
          <w:color w:val="000000"/>
          <w:sz w:val="28"/>
          <w:szCs w:val="28"/>
        </w:rPr>
        <w:t xml:space="preserve"> Камчатского края от</w:t>
      </w:r>
      <w:r>
        <w:rPr>
          <w:b/>
          <w:bCs/>
          <w:color w:val="000000"/>
          <w:sz w:val="28"/>
          <w:szCs w:val="28"/>
        </w:rPr>
        <w:t xml:space="preserve"> </w:t>
      </w:r>
      <w:r>
        <w:rPr>
          <w:b/>
          <w:bCs/>
          <w:color w:val="000000"/>
          <w:sz w:val="28"/>
          <w:szCs w:val="28"/>
        </w:rPr>
        <w:t xml:space="preserve">11.11.2019 № 606 «Об утверж</w:t>
      </w:r>
      <w:r>
        <w:rPr>
          <w:b/>
          <w:bCs/>
          <w:color w:val="000000"/>
          <w:sz w:val="28"/>
          <w:szCs w:val="28"/>
        </w:rPr>
        <w:t xml:space="preserve">дении Положения о порядке оплаты расходов, связанных с направлением граждан Российской Федерации в медицинские организации, расположенные за пределами Камчатского края, для оказания специализированной, в том числе высокотехнологичной, медицинской помощи и </w:t>
      </w:r>
      <w:r>
        <w:rPr>
          <w:b/>
          <w:bCs/>
          <w:color w:val="000000"/>
          <w:sz w:val="28"/>
          <w:szCs w:val="28"/>
        </w:rPr>
        <w:t xml:space="preserve">медицинской реабилитации»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ПРИКАЗЫВАЮ: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Внести в приказ Минздрава Камчатского края от 11.11.2019 № 606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bookmarkStart w:id="2" w:name="_GoBack"/>
      <w:r/>
      <w:bookmarkEnd w:id="2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Положения о порядке оплаты расходов, свя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занных с направлением граждан Российской Федерации в медицинские организации, расположенные за пределами Камчатского края, для оказания специализированной, в том числе высокотехнологичной, медицинской помощи и медицинской реабилитации» следующие изменения: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 в приложение № 1: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а) в наименовании слово «постоянно» исключить;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б) в части 1.1 слово «постоянно» исключить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части 1.2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пункт 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лово «постоянно» исключить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 2 исключить;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 6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«6) порядок направления граждан, утвержденный приказами Министерства здравоох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ранения Камчатского края от 17.01.2022 № 21-22 «Об утверждении Административного регламента предоставления Министерством здравоохранения Камчатского края государственной услуги по направлению граждан 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оказание специализированной, в том числе, высокотехнологичной медицинской помощи», от 16.07.2018 № 372 «Об организации работы по направлению граждан в медицинские организации, расположенные за пределами Камчатского края» (далее - установленный порядок);»;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часть 2.1 после слов «осуществляется гражданам» дополнить словами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 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направляемым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лечение (консультацию, обследование)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установленном порядке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д) часть 2.2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«2.2.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 об оплате стоимости медицинских услуг подается гражданином, сопровождающим лицом в Министерство любым доступным способом не позднее 60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календарных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дней после дня возвращения гражданина на территорию Камчатского края из медицинской организации, с приложением следующих документов: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 копии паспорта с отметкой о постоянном жительстве в Камчатском крае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за исключением случаев, предусмотренных пунктом 4 настоящей части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 копии свидетельства о рождении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для несовершеннолетнего гражданина, не достигшего возраста 14 лет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копии;</w:t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 справки (сведений, свидетельства) о постоянном жительстве в Камчатском крае для несовершеннолетнего гражданина, не достигшего возраста 14 лет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 исключением случаев, предусмотренных пунктом 4 настоящей части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 копии справки (сведений, свидетельства) о регистрации по месту пребывания в Камчатском крае для детей-сирот и детей, оставшихся без попечения родителей, в случае отсутствия документа о постоянном жительстве в Камчатском крае;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копии паспорта гражданина Российской Федерации и копии документа, подтверждающего полномочия лица, представлять интересы несовершеннолетнего гражданина, не достигшего возраста 18 лет (свидетельство о рождении или доверенность) – для сопровождающего лица;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6) копии решения суда, с отметкой о вступлении в законную силу, об установлении факта постоянного проживания гражданина в Камчатском крае в случае отсутствия документа, подтверждающего постоянное проживание в Камчатском крае;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7) копии медицинских документов, подтверждающих факт нахождения гражданина на лечении в медицинской организации;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8) копии договора об оказании платных медицинских услуг либо медицинские документы, подтверждающие факт назначения гражданину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медицинских исследований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(манипуляций);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9) акта оказанных медицинских услуг либо иного документа, подтверждающего оказание медицинских услуг в случае, если выдача таких документов предусмотрено договором об оказании платных медицинских услуг;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10) платежного документа, подтверждающего оплату оказанных медицинских услуг или медицинских исследований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(манипуляций)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11) копии страхового свидетельства обязательного пенсионного страхования гражданина, сопровождающего лица или документа, подтверждающего регистрацию в системе индивидуального (персонифицированного) учета;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12) реквизиты счета, открытого в кредитной организации на имя гражданина, сопровождающего лица.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части 3.3: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 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«4) в маршрутном транспортном средстве междугородного сообщения;»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дополнить пунктом 5 следующего содержания: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«5) автомобильным транспортом за исключением такси для граждан, подлежащих транспортировке,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аэропорта до медицинской организации, в которую он направляется и обратно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положении лежа, при наличии справки (заключения врачебной комиссии) медицинской организации или медицинской организации Камчатского края о необходимости транспортировки гражданина в положении лежа.»;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ж) част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3.4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– 3.6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«3.4.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Право на особые услов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ия транспортировки к месту лечения в медицинские организации и обратно имеют граждане на основании справки (заключения врачебной комиссии) медицинской организации или медицинской организации Камчатского края о нуждаемости в особых условиях транспортировки.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 особыми условиями транспортировки понимается такое положение гражданина, которое позволяет ему занимать более одного места в салоне экономического класса транспортного средства или одно место в салоне повышенной комфортности.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 предоставлении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гражданину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проезда к месту лечения и обратно в соответствии 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абзацами первым и вторым настоящей части, сопровождающее лицо, в том числе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медицинский работник имеет право на получение проезда на тех же условиях, что и гражданин, но не более одного места в салоне такого же класса обслуживания.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случае необходимости 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ровоза медицинским работником медицинского оборудования, подтвержденной справкой (заключением врачебной комиссии) медицинской организации, медицинскому работнику предоставляется дополнительное место в салоне такого же класса обслуживания, как и гражданину.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Оплата расходов по проезду, при наличии права на особые условия транспортировки, осуществляется в размере фактических расходов, подтвержденных документами.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3.5.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Решение о предоставлении проезда к месту лечения и обратно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гражданам, сопровождающим лицам и медицинским работникам в виде предоставления заявки-требования на получение проездных документов (билетов), обеспечивающих проезд к месту лечения и обратно, принимается Министерством при предъявлении следующих документов: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 письменного заявления гражданина, сопровождающего лица за исключением медицинского работника, направленного любым доступным способом;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 копии вызова - приглашения на лечение из медицинской организации, в которую направляется гражданин или иного документа, при отсутствии вызова - приглашения;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shd w:val="clear" w:color="auto" w:fill="FFFFFF" w:themeFill="background1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 копии паспорта с отметкой о постоянном жительстве в Камчатском крае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 исключением случаев, предусмотренных </w:t>
      </w:r>
      <w:r>
        <w:rPr>
          <w:rFonts w:ascii="Times New Roman" w:hAnsi="Times New Roman" w:eastAsia="Times New Roman"/>
          <w:sz w:val="28"/>
          <w:szCs w:val="28"/>
          <w:shd w:val="clear" w:color="auto" w:fill="FFFFFF" w:themeFill="background1"/>
          <w:lang w:eastAsia="ru-RU"/>
        </w:rPr>
        <w:t xml:space="preserve">пунктом 6 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астоящей части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shd w:val="clear" w:color="auto" w:fill="FFFFFF" w:themeFill="background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 копии свидетельства о рождении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несовершеннолетнего гражданина, не достигшего возраста 14 лет</w:t>
      </w:r>
      <w:r>
        <w:t xml:space="preserve"> ;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shd w:val="clear" w:color="auto" w:fill="FFFFFF" w:themeFill="background1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5) копии справки (сведений, свидетельства) о постоянном жительстве в Камчатском крае для несовершеннолетнего гражданина, не достигшего возраста 14 лет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 исключением случаев, предусмотренны</w:t>
      </w:r>
      <w:r>
        <w:rPr>
          <w:rFonts w:ascii="Times New Roman" w:hAnsi="Times New Roman" w:eastAsia="Times New Roman"/>
          <w:sz w:val="28"/>
          <w:szCs w:val="28"/>
          <w:shd w:val="clear" w:color="auto" w:fill="FFFFFF" w:themeFill="background1"/>
          <w:lang w:eastAsia="ru-RU"/>
        </w:rPr>
        <w:t xml:space="preserve">х</w:t>
      </w:r>
      <w:r>
        <w:rPr>
          <w:rFonts w:ascii="Times New Roman" w:hAnsi="Times New Roman" w:eastAsia="Times New Roman"/>
          <w:sz w:val="28"/>
          <w:szCs w:val="28"/>
          <w:shd w:val="clear" w:color="auto" w:fill="FFFFFF" w:themeFill="background1"/>
          <w:lang w:eastAsia="ru-RU"/>
        </w:rPr>
        <w:t xml:space="preserve"> пунктом 6 нас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тоящей части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shd w:val="clear" w:color="auto" w:fill="FFFFFF" w:themeFill="background1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6) копии справки (сведений, свидетельства) о регистрации по месту пребывания в Камчатском крае для детей-сирот и детей, оставшихся без попечения родителей, в случае отсутствия документа о постоянном жительстве в Камчатском крае;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копии паспорта гражданина Российской Федерации и копии документа, подтверждающего полномочия лица, представлять интересы несовершеннолетнего гражданина, не достигшего возраста 18 лет (свидетельство о рождении или доверенность) – для сопровождающего лица;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8) копии паспорта медицинского работника;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9) копии решения суда, с отметкой о вступлении в законную силу, об установлении факта постоянного проживания гражданина в Камчатском крае в случае отсутствия документа, подтверждающего постоянное проживание в Камчатском крае;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10) копии страхового свидетельства обязательного пенсионного страхования гражданина, сопровождающего лица или документа, подтверждающего регистрацию в системе индивидуального (персонифицированного) учета;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11) копии справки, подтверждающей факт установления инвалидности, выдаваемой федеральными государственными учреждениями медико-социальной экспертизы;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12) копии медицинских документов о нуждаемости в особых условиях транспортировки.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3.6.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 о компенсации расходов по проезду направляется в Министерство гражданином, сопровождающим лицом, медицинским работником любым доступным способом не позднее 60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календарных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дней после возвращения на территорию Камчатского края из медицинской организации, с приложением следующих документов: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 копии паспорта с отметкой о постоянном жительстве в Камчатском крае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за исключением случаев, предусмотренных пунктом 4  настоящей части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 копии свидетельства о рождении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несовершеннолетнего гражданина, не достигшего возраста 14 лет;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 копии справки (сведений, свидетельства) о постоянном жительстве в Камчатском крае для несовершеннолетнего гражданина, не достигшего возраста 14 лет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 исключением случаев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предусмотренных пунктом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настоящей части;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 копии справки (сведений, свидетельства) о регистрации по месту пребывания в Камчатском крае для детей-сирот и детей, оставшихся без попечения родителей, в случае отсутствия документа о постоянном жительстве в Камчатском крае;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копии паспорта гражданина Российской Федерации и копии документа, подтверждающего полномочия лица, представлять интересы несовершеннолетнего гражданина, не достигшего возраста 18 лет (свидетельство о рождении или доверенность) – для сопровождающего лица;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6) копии паспорта медицинского работника;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7) копии решения суда, с отметкой о вступлении в законную силу, об установлении факта постоянного проживания гражданина в Камчатском крае в случае отсутствия документа, подтверждающего постоянное проживание в Камчатском крае;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8) копии медицинских документов, подтверждающих факт нахождения гражданина на лечении в медицинской организации;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копии медицинских документов о нуждаемости в особых условиях транспортировки;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копии вызова - приглашения на лечение из медицинской организации, в которую направляется гражданин или иного документа, при отсутствии вызова - приглашения;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копии справки, подтверждающей факт установления инвалидности, выдаваемой федеральными государственными учреждениями медико-социальной экспертизы;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проездных документов (билетов);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при перевозке гражданина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положении лежа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от аэропорта до медицинской организации и обратно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автомобильным транспортом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 исключением такси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компенсация расходов по проезду производится на основании: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а) договор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перевозки от аэропорта до медицинской организации, в которую он направлялся и обратно;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б) платежн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 оплате перевозки;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в) медицинск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 необходимости транспортировки в положении лежа;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при использовании электронных проездных документов, оформленных в установленном порядке, компенсация расходов по проезду производится на основании: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а) маршрут/квитанции электронного пассажирского билета, посадочного талона или электронного посадочного талона со штампом о досмотре - при проезде воздушным транспортом;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б) контрольного купона электронного проездного документа - при проезде железнодорожным транспортом;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в) электронного билета на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маршрутное транспортное средство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междугородного сообщения и электронного багажного билета (при наличии) при проезде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маршрутном транспортном средстве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междугородного сообщения;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платежных документов об оплате услуг по оформлению проездных документов;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справки транспортной организации, подтверждающей факт совершения проезда в случае утери гражданином (сопровождающим лицом) подлинника посадочного талона или отсутствия штампа о досмотре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электронном посадочном талоне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справки транспортной организац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ии (иной организации, индивидуального предпринимателя), осуществляющей продажу билетов, подтверждающей факт оплаты гражданином (сопровождающим лицом) проездных документов (билетов), электронных проездных документов с указанием стоимости, в случае их утери;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справки транспортной организации (иной организации, индивидуального предпринимателя), осуществляющей продажу билетов, 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стоимости проезда в соответствии с категорией проезда, установленной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частью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настоящего Положения, в случае предоставления гражданином, сопровождающим лицом, медицинским работником проездных документов (билетов), электронных проездных документов по более высокой категории проезда, чем установлено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частью 3.2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настоящего Положения;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копии страхового свидетельства обязательного пенсионного страхования гражданина, сопровождающего лица или документа, подтверждающего регистрацию в системе индивидуального (персонифицированного) учета;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реквизиты счета, открытого в кредитной организации на имя гражданина, сопровождающего лица.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случае достижения несовершеннолетним гражданином совершеннолетия в период пребывания в медицинском учреждении расходы по проезду сопровождающему его лицу, подлежат компенсации.»;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з) часть 3.8 исключить;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и) пункт 3 части 3.9 изложить в следующей редакции:</w:t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«3)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посадочные талоны или электронные посадочные талоны со штампом о досмотре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к) част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3.10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после слов «обязаны выехать» дополнить словами «с территории Камчатского края»;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дополнить абзацем следующего содержания: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«Ранний выезд гражданина с территории Камчатского края или задержка возвращения гражданина на территорию Камчатского края от места лечения возможна только по уважительной прич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ине (отсутствие билетов на требуемые даты, задержка (отмена) отправления транспортного средства, временная нетрудоспособность гражданина, запрет на выезд по медицинским показаниям) с предоставлением документов, подтверждающих наличие уважительных причин.»;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л) в пункте 5.1.2 части 5.1 слово «добровольного» заменить словом «обязательного»;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м) часть 5.2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5.2.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подлежат компенсации расходы граждан (сопровождающих лиц) на получение справок, указанных в частях 3.3 и 3.6 настоя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щего Положения, на оплату сборов, связанных с предварительной продажей и предварительным бронированием билетов, выбором места, обменом и возвратом билета, онлайн-регистрацией, добровольным страхованием пассажиров, оплатой информации об электронном агенте,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агентский сбор, агентские услуги, комиссия агента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сервисный сбор при продаже билетов, выбором специального (дополнительного) питания и подбором оптимального тарифа, оплатой сверхнормативного багажа.»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 в приложении №  2: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 4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части 1.2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«4) порядок направления граждан, утвержденный приказами Министерства здравоохранения Камчатского края от 17.01.2022 № 21-22 «Об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утверждении Административного регламента предоставления Министерством здравоохранения Камчатского края государственной услуги по направлению граждан 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оказание специализированной, в том числе, высокотехнологичной медицинской помощи», от 16.07.2018 № 372 «Об организации работы по направлению граждан в медицинские организации, расположенные за пределами Камчатского края» (далее - установленный порядок);»;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часть 2.1 после слов «осуществляется гражданам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дополнить словами «направляемым на лечение (консультацию, обследование)»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часть 3.3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дополнить  абзацами следующего содержания: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 предоставлении гражданину проезда к месту 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ечения и обратно в соответствии с абзацами первым и вторым настоящей части, сопровождающее лицо, в том числе медицинский работник имеет право на получение проезда на тех же условиях, что и гражданин, но не более 1 места в салоне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такого же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класса обслуживания.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случае необходимости 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ровоза медицинским работником медицинского оборудования, подтвержденной справкой (заключением врачебной комиссии) медицинской организации, медицинскому работнику предоставляется дополнительное место в салоне такого же класса обслуживания, как и гражданину.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Оплата расходов по проезду, при наличии права на особые условия транспортировки, осуществляется в размере фактических расходов, подтвержденных документами.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части 3.5: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 6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«6) проездных документов (билетов), в том числе, подтвержда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ющих расходы по оплате проезда автомобильным транспортом (за исключением такси) гражданам, находящимся в положении лежа от аэропорта до медицинской организации и обратно, при наличии медицинских документов о нуждаемости в особых условиях транспортировки.</w:t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 использовании электронных проездных документов, оформленных в установленном порядке, компенсация расходов по проезду производится на основании:</w:t>
      </w:r>
      <w:r/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а) маршрут/квитанции электронного пассажирского билета, посадочного талона или электронного посадочного талона со штампом о досмотре - при проезде воздушным транспортом;</w:t>
      </w:r>
      <w:r>
        <w:rPr>
          <w:rFonts w:ascii="Times New Roman" w:hAnsi="Times New Roman" w:eastAsia="Times New Roman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б) контрольного купона электронного проездного документа - при проезде железнодорожным транспортом;</w:t>
      </w:r>
      <w:r>
        <w:rPr>
          <w:rFonts w:ascii="Times New Roman" w:hAnsi="Times New Roman" w:eastAsia="Times New Roman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в) электронного билета на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маршрутное транспортное средство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междугородного сообщения и электронного багажного билета (при наличии) при проезде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маршрутном транспортном средстве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междугородного сообщения;</w:t>
      </w:r>
      <w:r>
        <w:rPr>
          <w:rFonts w:ascii="Times New Roman" w:hAnsi="Times New Roman" w:eastAsia="Times New Roman"/>
          <w:lang w:eastAsia="ru-RU"/>
        </w:rPr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 8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«8) справки транспортной организации, подтверждающей факт совершения проезда, в случае утери гражданином посадочного или отсутствия штампа о досмотре на электронном посадочном талоне;»;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слова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Расходы на получение указанных справок компенсации не подлежат.» исключить;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д) часть 3.6 исключить;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д) дополнить частью 5.2 следующего содержания: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«5.2.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Не подлежат компенсации расходы граждан (сопровождающих лиц) на получение справок, указа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нных в части 3.5 настоящего Положения, на оплату сборов, связанных с предварительной продажей и предварительным бронированием билетов, выбором места, обменом и возвратом билета, онлайн-регистрацией, добровольным страхованием пассажиров, оплатой информации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 электронном агенте, агентский сбор, агентские услуги, комиссия агента, сервисный сбор при продаже билетов, выбором специального (дополнительного) питания и подбором оптимального тарифа, оплатой сверхнормативного багажа.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 Настоящий приказ вступает в силу после дня его официального опубликования и распространяется на правоотношения возникшие с 1 января                       2023 года.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Контроль за исполнением настоящего приказа оставляю за собой.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76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spacing w:lineRule="auto" w:line="276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lineRule="auto" w:line="276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102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3614"/>
        <w:gridCol w:w="3264"/>
      </w:tblGrid>
      <w:tr>
        <w:trPr>
          <w:trHeight w:val="894"/>
        </w:trPr>
        <w:tc>
          <w:tcPr>
            <w:shd w:val="clear" w:color="auto" w:fill="FFFFFF"/>
            <w:tcW w:w="332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Камчатского края</w:t>
            </w:r>
            <w: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r>
            <w:r/>
          </w:p>
        </w:tc>
        <w:tc>
          <w:tcPr>
            <w:shd w:val="clear" w:color="auto" w:fill="FFFFFF"/>
            <w:tcW w:w="3614" w:type="dxa"/>
            <w:textDirection w:val="lrTb"/>
            <w:noWrap w:val="false"/>
          </w:tcPr>
          <w:p>
            <w:pPr>
              <w:ind w:right="-116"/>
              <w:jc w:val="center"/>
              <w:spacing w:lineRule="auto" w:line="240" w:after="0"/>
              <w:rPr>
                <w:rFonts w:ascii="Times New Roman" w:hAnsi="Times New Roman" w:cs="Times New Roman"/>
                <w:color w:val="D9D9D9"/>
              </w:rPr>
            </w:pPr>
            <w:r/>
            <w:bookmarkStart w:id="3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 xml:space="preserve">[горизонтальный штамп подписи 1]</w:t>
            </w:r>
            <w:bookmarkEnd w:id="3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r>
            <w:r/>
          </w:p>
          <w:p>
            <w:pPr>
              <w:ind w:firstLine="709"/>
              <w:jc w:val="right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W w:w="3264" w:type="dxa"/>
            <w:textDirection w:val="lrTb"/>
            <w:noWrap w:val="false"/>
          </w:tcPr>
          <w:p>
            <w:pPr>
              <w:ind w:right="-6"/>
              <w:jc w:val="right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right="-6"/>
              <w:jc w:val="right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Гашков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r/>
      <w:r/>
    </w:p>
    <w:p>
      <w:r/>
      <w:r/>
    </w:p>
    <w:sectPr>
      <w:headerReference w:type="default" r:id="rId8"/>
      <w:foot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07223089"/>
      <w:docPartObj>
        <w:docPartGallery w:val="Page Numbers (Top of Page)"/>
        <w:docPartUnique w:val="true"/>
      </w:docPartObj>
      <w:rPr/>
    </w:sdtPr>
    <w:sdtContent>
      <w:p>
        <w:pPr>
          <w:pStyle w:val="57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5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4">
    <w:name w:val="Heading 1"/>
    <w:basedOn w:val="562"/>
    <w:next w:val="562"/>
    <w:link w:val="39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5">
    <w:name w:val="Heading 1 Char"/>
    <w:basedOn w:val="563"/>
    <w:link w:val="394"/>
    <w:uiPriority w:val="9"/>
    <w:rPr>
      <w:rFonts w:ascii="Arial" w:hAnsi="Arial" w:cs="Arial" w:eastAsia="Arial"/>
      <w:sz w:val="40"/>
      <w:szCs w:val="40"/>
    </w:rPr>
  </w:style>
  <w:style w:type="paragraph" w:styleId="396">
    <w:name w:val="Heading 2"/>
    <w:basedOn w:val="562"/>
    <w:next w:val="562"/>
    <w:link w:val="39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7">
    <w:name w:val="Heading 2 Char"/>
    <w:basedOn w:val="563"/>
    <w:link w:val="396"/>
    <w:uiPriority w:val="9"/>
    <w:rPr>
      <w:rFonts w:ascii="Arial" w:hAnsi="Arial" w:cs="Arial" w:eastAsia="Arial"/>
      <w:sz w:val="34"/>
    </w:rPr>
  </w:style>
  <w:style w:type="paragraph" w:styleId="398">
    <w:name w:val="Heading 3"/>
    <w:basedOn w:val="562"/>
    <w:next w:val="562"/>
    <w:link w:val="39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9">
    <w:name w:val="Heading 3 Char"/>
    <w:basedOn w:val="563"/>
    <w:link w:val="398"/>
    <w:uiPriority w:val="9"/>
    <w:rPr>
      <w:rFonts w:ascii="Arial" w:hAnsi="Arial" w:cs="Arial" w:eastAsia="Arial"/>
      <w:sz w:val="30"/>
      <w:szCs w:val="30"/>
    </w:rPr>
  </w:style>
  <w:style w:type="paragraph" w:styleId="400">
    <w:name w:val="Heading 4"/>
    <w:basedOn w:val="562"/>
    <w:next w:val="562"/>
    <w:link w:val="40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01">
    <w:name w:val="Heading 4 Char"/>
    <w:basedOn w:val="563"/>
    <w:link w:val="400"/>
    <w:uiPriority w:val="9"/>
    <w:rPr>
      <w:rFonts w:ascii="Arial" w:hAnsi="Arial" w:cs="Arial" w:eastAsia="Arial"/>
      <w:b/>
      <w:bCs/>
      <w:sz w:val="26"/>
      <w:szCs w:val="26"/>
    </w:rPr>
  </w:style>
  <w:style w:type="paragraph" w:styleId="402">
    <w:name w:val="Heading 5"/>
    <w:basedOn w:val="562"/>
    <w:next w:val="562"/>
    <w:link w:val="40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03">
    <w:name w:val="Heading 5 Char"/>
    <w:basedOn w:val="563"/>
    <w:link w:val="402"/>
    <w:uiPriority w:val="9"/>
    <w:rPr>
      <w:rFonts w:ascii="Arial" w:hAnsi="Arial" w:cs="Arial" w:eastAsia="Arial"/>
      <w:b/>
      <w:bCs/>
      <w:sz w:val="24"/>
      <w:szCs w:val="24"/>
    </w:rPr>
  </w:style>
  <w:style w:type="paragraph" w:styleId="404">
    <w:name w:val="Heading 6"/>
    <w:basedOn w:val="562"/>
    <w:next w:val="562"/>
    <w:link w:val="40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5">
    <w:name w:val="Heading 6 Char"/>
    <w:basedOn w:val="563"/>
    <w:link w:val="404"/>
    <w:uiPriority w:val="9"/>
    <w:rPr>
      <w:rFonts w:ascii="Arial" w:hAnsi="Arial" w:cs="Arial" w:eastAsia="Arial"/>
      <w:b/>
      <w:bCs/>
      <w:sz w:val="22"/>
      <w:szCs w:val="22"/>
    </w:rPr>
  </w:style>
  <w:style w:type="paragraph" w:styleId="406">
    <w:name w:val="Heading 7"/>
    <w:basedOn w:val="562"/>
    <w:next w:val="562"/>
    <w:link w:val="40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7">
    <w:name w:val="Heading 7 Char"/>
    <w:basedOn w:val="563"/>
    <w:link w:val="40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8">
    <w:name w:val="Heading 8"/>
    <w:basedOn w:val="562"/>
    <w:next w:val="562"/>
    <w:link w:val="40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9">
    <w:name w:val="Heading 8 Char"/>
    <w:basedOn w:val="563"/>
    <w:link w:val="408"/>
    <w:uiPriority w:val="9"/>
    <w:rPr>
      <w:rFonts w:ascii="Arial" w:hAnsi="Arial" w:cs="Arial" w:eastAsia="Arial"/>
      <w:i/>
      <w:iCs/>
      <w:sz w:val="22"/>
      <w:szCs w:val="22"/>
    </w:rPr>
  </w:style>
  <w:style w:type="paragraph" w:styleId="410">
    <w:name w:val="Heading 9"/>
    <w:basedOn w:val="562"/>
    <w:next w:val="562"/>
    <w:link w:val="41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11">
    <w:name w:val="Heading 9 Char"/>
    <w:basedOn w:val="563"/>
    <w:link w:val="410"/>
    <w:uiPriority w:val="9"/>
    <w:rPr>
      <w:rFonts w:ascii="Arial" w:hAnsi="Arial" w:cs="Arial" w:eastAsia="Arial"/>
      <w:i/>
      <w:iCs/>
      <w:sz w:val="21"/>
      <w:szCs w:val="21"/>
    </w:rPr>
  </w:style>
  <w:style w:type="paragraph" w:styleId="412">
    <w:name w:val="Title"/>
    <w:basedOn w:val="562"/>
    <w:next w:val="562"/>
    <w:link w:val="41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3">
    <w:name w:val="Title Char"/>
    <w:basedOn w:val="563"/>
    <w:link w:val="412"/>
    <w:uiPriority w:val="10"/>
    <w:rPr>
      <w:sz w:val="48"/>
      <w:szCs w:val="48"/>
    </w:rPr>
  </w:style>
  <w:style w:type="paragraph" w:styleId="414">
    <w:name w:val="Subtitle"/>
    <w:basedOn w:val="562"/>
    <w:next w:val="562"/>
    <w:link w:val="415"/>
    <w:qFormat/>
    <w:uiPriority w:val="11"/>
    <w:rPr>
      <w:sz w:val="24"/>
      <w:szCs w:val="24"/>
    </w:rPr>
    <w:pPr>
      <w:spacing w:after="200" w:before="200"/>
    </w:pPr>
  </w:style>
  <w:style w:type="character" w:styleId="415">
    <w:name w:val="Subtitle Char"/>
    <w:basedOn w:val="563"/>
    <w:link w:val="414"/>
    <w:uiPriority w:val="11"/>
    <w:rPr>
      <w:sz w:val="24"/>
      <w:szCs w:val="24"/>
    </w:rPr>
  </w:style>
  <w:style w:type="paragraph" w:styleId="416">
    <w:name w:val="Quote"/>
    <w:basedOn w:val="562"/>
    <w:next w:val="562"/>
    <w:link w:val="417"/>
    <w:qFormat/>
    <w:uiPriority w:val="29"/>
    <w:rPr>
      <w:i/>
    </w:rPr>
    <w:pPr>
      <w:ind w:left="720" w:right="720"/>
    </w:pPr>
  </w:style>
  <w:style w:type="character" w:styleId="417">
    <w:name w:val="Quote Char"/>
    <w:link w:val="416"/>
    <w:uiPriority w:val="29"/>
    <w:rPr>
      <w:i/>
    </w:rPr>
  </w:style>
  <w:style w:type="paragraph" w:styleId="418">
    <w:name w:val="Intense Quote"/>
    <w:basedOn w:val="562"/>
    <w:next w:val="562"/>
    <w:link w:val="41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9">
    <w:name w:val="Intense Quote Char"/>
    <w:link w:val="418"/>
    <w:uiPriority w:val="30"/>
    <w:rPr>
      <w:i/>
    </w:rPr>
  </w:style>
  <w:style w:type="character" w:styleId="420">
    <w:name w:val="Header Char"/>
    <w:basedOn w:val="563"/>
    <w:link w:val="576"/>
    <w:uiPriority w:val="99"/>
  </w:style>
  <w:style w:type="character" w:styleId="421">
    <w:name w:val="Footer Char"/>
    <w:basedOn w:val="563"/>
    <w:link w:val="569"/>
    <w:uiPriority w:val="99"/>
  </w:style>
  <w:style w:type="paragraph" w:styleId="422">
    <w:name w:val="Caption"/>
    <w:basedOn w:val="562"/>
    <w:next w:val="56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23">
    <w:name w:val="Caption Char"/>
    <w:basedOn w:val="422"/>
    <w:link w:val="569"/>
    <w:uiPriority w:val="99"/>
  </w:style>
  <w:style w:type="table" w:styleId="424">
    <w:name w:val="Table Grid Light"/>
    <w:basedOn w:val="56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5">
    <w:name w:val="Plain Table 1"/>
    <w:basedOn w:val="56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6">
    <w:name w:val="Plain Table 2"/>
    <w:basedOn w:val="56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7">
    <w:name w:val="Plain Table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8">
    <w:name w:val="Plain Table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9">
    <w:name w:val="Plain Table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0">
    <w:name w:val="Grid Table 1 Light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1">
    <w:name w:val="Grid Table 1 Light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1 Light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>
    <w:name w:val="Grid Table 1 Light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1 Light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2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2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2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2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2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3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3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3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4"/>
    <w:basedOn w:val="5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2">
    <w:name w:val="Grid Table 4 - Accent 1"/>
    <w:basedOn w:val="5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3">
    <w:name w:val="Grid Table 4 - Accent 2"/>
    <w:basedOn w:val="5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4">
    <w:name w:val="Grid Table 4 - Accent 3"/>
    <w:basedOn w:val="5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5">
    <w:name w:val="Grid Table 4 - Accent 4"/>
    <w:basedOn w:val="5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6">
    <w:name w:val="Grid Table 4 - Accent 5"/>
    <w:basedOn w:val="5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7">
    <w:name w:val="Grid Table 4 - Accent 6"/>
    <w:basedOn w:val="5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8">
    <w:name w:val="Grid Table 5 Dark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59">
    <w:name w:val="Grid Table 5 Dark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0">
    <w:name w:val="Grid Table 5 Dark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1">
    <w:name w:val="Grid Table 5 Dark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2">
    <w:name w:val="Grid Table 5 Dark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3">
    <w:name w:val="Grid Table 5 Dark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4">
    <w:name w:val="Grid Table 5 Dark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5">
    <w:name w:val="Grid Table 6 Colorful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6">
    <w:name w:val="Grid Table 6 Colorful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7">
    <w:name w:val="Grid Table 6 Colorful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8">
    <w:name w:val="Grid Table 6 Colorful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69">
    <w:name w:val="Grid Table 6 Colorful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0">
    <w:name w:val="Grid Table 6 Colorful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1">
    <w:name w:val="Grid Table 6 Colorful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2">
    <w:name w:val="Grid Table 7 Colorful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7 Colorful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7 Colorful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7 Colorful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7 Colorful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7 Colorful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List Table 1 Light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1 Light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1 Light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List Table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7">
    <w:name w:val="List Table 2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8">
    <w:name w:val="List Table 2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89">
    <w:name w:val="List Table 2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0">
    <w:name w:val="List Table 2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1">
    <w:name w:val="List Table 2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2">
    <w:name w:val="List Table 2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3">
    <w:name w:val="List Table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3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3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3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3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4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5 Dark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8">
    <w:name w:val="List Table 5 Dark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5 Dark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0">
    <w:name w:val="List Table 5 Dark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5 Dark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6 Colorful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5">
    <w:name w:val="List Table 6 Colorful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6">
    <w:name w:val="List Table 6 Colorful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7">
    <w:name w:val="List Table 6 Colorful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8">
    <w:name w:val="List Table 6 Colorful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19">
    <w:name w:val="List Table 6 Colorful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0">
    <w:name w:val="List Table 6 Colorful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1">
    <w:name w:val="List Table 7 Colorful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2">
    <w:name w:val="List Table 7 Colorful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23">
    <w:name w:val="List Table 7 Colorful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24">
    <w:name w:val="List Table 7 Colorful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25">
    <w:name w:val="List Table 7 Colorful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26">
    <w:name w:val="List Table 7 Colorful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27">
    <w:name w:val="List Table 7 Colorful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28">
    <w:name w:val="Lined - Accent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9">
    <w:name w:val="Lined - Accent 1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0">
    <w:name w:val="Lined - Accent 2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1">
    <w:name w:val="Lined - Accent 3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2">
    <w:name w:val="Lined - Accent 4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3">
    <w:name w:val="Lined - Accent 5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4">
    <w:name w:val="Lined - Accent 6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5">
    <w:name w:val="Bordered &amp; Lined - Accent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6">
    <w:name w:val="Bordered &amp; Lined - Accent 1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7">
    <w:name w:val="Bordered &amp; Lined - Accent 2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8">
    <w:name w:val="Bordered &amp; Lined - Accent 3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9">
    <w:name w:val="Bordered &amp; Lined - Accent 4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0">
    <w:name w:val="Bordered &amp; Lined - Accent 5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1">
    <w:name w:val="Bordered &amp; Lined - Accent 6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2">
    <w:name w:val="Bordered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3">
    <w:name w:val="Bordered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4">
    <w:name w:val="Bordered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5">
    <w:name w:val="Bordered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6">
    <w:name w:val="Bordered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7">
    <w:name w:val="Bordered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8">
    <w:name w:val="Bordered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549">
    <w:name w:val="footnote text"/>
    <w:basedOn w:val="562"/>
    <w:link w:val="550"/>
    <w:uiPriority w:val="99"/>
    <w:semiHidden/>
    <w:unhideWhenUsed/>
    <w:rPr>
      <w:sz w:val="18"/>
    </w:rPr>
    <w:pPr>
      <w:spacing w:lineRule="auto" w:line="240" w:after="40"/>
    </w:pPr>
  </w:style>
  <w:style w:type="character" w:styleId="550">
    <w:name w:val="Footnote Text Char"/>
    <w:link w:val="549"/>
    <w:uiPriority w:val="99"/>
    <w:rPr>
      <w:sz w:val="18"/>
    </w:rPr>
  </w:style>
  <w:style w:type="character" w:styleId="551">
    <w:name w:val="footnote reference"/>
    <w:basedOn w:val="563"/>
    <w:uiPriority w:val="99"/>
    <w:unhideWhenUsed/>
    <w:rPr>
      <w:vertAlign w:val="superscript"/>
    </w:rPr>
  </w:style>
  <w:style w:type="paragraph" w:styleId="552">
    <w:name w:val="toc 1"/>
    <w:basedOn w:val="562"/>
    <w:next w:val="562"/>
    <w:uiPriority w:val="39"/>
    <w:unhideWhenUsed/>
    <w:pPr>
      <w:ind w:left="0" w:right="0" w:firstLine="0"/>
      <w:spacing w:after="57"/>
    </w:pPr>
  </w:style>
  <w:style w:type="paragraph" w:styleId="553">
    <w:name w:val="toc 2"/>
    <w:basedOn w:val="562"/>
    <w:next w:val="562"/>
    <w:uiPriority w:val="39"/>
    <w:unhideWhenUsed/>
    <w:pPr>
      <w:ind w:left="283" w:right="0" w:firstLine="0"/>
      <w:spacing w:after="57"/>
    </w:pPr>
  </w:style>
  <w:style w:type="paragraph" w:styleId="554">
    <w:name w:val="toc 3"/>
    <w:basedOn w:val="562"/>
    <w:next w:val="562"/>
    <w:uiPriority w:val="39"/>
    <w:unhideWhenUsed/>
    <w:pPr>
      <w:ind w:left="567" w:right="0" w:firstLine="0"/>
      <w:spacing w:after="57"/>
    </w:pPr>
  </w:style>
  <w:style w:type="paragraph" w:styleId="555">
    <w:name w:val="toc 4"/>
    <w:basedOn w:val="562"/>
    <w:next w:val="562"/>
    <w:uiPriority w:val="39"/>
    <w:unhideWhenUsed/>
    <w:pPr>
      <w:ind w:left="850" w:right="0" w:firstLine="0"/>
      <w:spacing w:after="57"/>
    </w:pPr>
  </w:style>
  <w:style w:type="paragraph" w:styleId="556">
    <w:name w:val="toc 5"/>
    <w:basedOn w:val="562"/>
    <w:next w:val="562"/>
    <w:uiPriority w:val="39"/>
    <w:unhideWhenUsed/>
    <w:pPr>
      <w:ind w:left="1134" w:right="0" w:firstLine="0"/>
      <w:spacing w:after="57"/>
    </w:pPr>
  </w:style>
  <w:style w:type="paragraph" w:styleId="557">
    <w:name w:val="toc 6"/>
    <w:basedOn w:val="562"/>
    <w:next w:val="562"/>
    <w:uiPriority w:val="39"/>
    <w:unhideWhenUsed/>
    <w:pPr>
      <w:ind w:left="1417" w:right="0" w:firstLine="0"/>
      <w:spacing w:after="57"/>
    </w:pPr>
  </w:style>
  <w:style w:type="paragraph" w:styleId="558">
    <w:name w:val="toc 7"/>
    <w:basedOn w:val="562"/>
    <w:next w:val="562"/>
    <w:uiPriority w:val="39"/>
    <w:unhideWhenUsed/>
    <w:pPr>
      <w:ind w:left="1701" w:right="0" w:firstLine="0"/>
      <w:spacing w:after="57"/>
    </w:pPr>
  </w:style>
  <w:style w:type="paragraph" w:styleId="559">
    <w:name w:val="toc 8"/>
    <w:basedOn w:val="562"/>
    <w:next w:val="562"/>
    <w:uiPriority w:val="39"/>
    <w:unhideWhenUsed/>
    <w:pPr>
      <w:ind w:left="1984" w:right="0" w:firstLine="0"/>
      <w:spacing w:after="57"/>
    </w:pPr>
  </w:style>
  <w:style w:type="paragraph" w:styleId="560">
    <w:name w:val="toc 9"/>
    <w:basedOn w:val="562"/>
    <w:next w:val="562"/>
    <w:uiPriority w:val="39"/>
    <w:unhideWhenUsed/>
    <w:pPr>
      <w:ind w:left="2268" w:right="0" w:firstLine="0"/>
      <w:spacing w:after="57"/>
    </w:pPr>
  </w:style>
  <w:style w:type="paragraph" w:styleId="561">
    <w:name w:val="TOC Heading"/>
    <w:uiPriority w:val="39"/>
    <w:unhideWhenUsed/>
  </w:style>
  <w:style w:type="paragraph" w:styleId="562" w:default="1">
    <w:name w:val="Normal"/>
    <w:qFormat/>
  </w:style>
  <w:style w:type="character" w:styleId="563" w:default="1">
    <w:name w:val="Default Paragraph Font"/>
    <w:uiPriority w:val="1"/>
    <w:semiHidden/>
    <w:unhideWhenUsed/>
  </w:style>
  <w:style w:type="table" w:styleId="5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65" w:default="1">
    <w:name w:val="No List"/>
    <w:uiPriority w:val="99"/>
    <w:semiHidden/>
    <w:unhideWhenUsed/>
  </w:style>
  <w:style w:type="table" w:styleId="566">
    <w:name w:val="Table Grid"/>
    <w:basedOn w:val="564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567">
    <w:name w:val="Plain Text"/>
    <w:basedOn w:val="562"/>
    <w:link w:val="568"/>
    <w:uiPriority w:val="99"/>
    <w:semiHidden/>
    <w:unhideWhenUsed/>
    <w:rPr>
      <w:rFonts w:ascii="Calibri" w:hAnsi="Calibri" w:cs="Times New Roman" w:eastAsia="Calibri"/>
      <w:szCs w:val="21"/>
    </w:rPr>
    <w:pPr>
      <w:spacing w:lineRule="auto" w:line="240" w:after="0"/>
    </w:pPr>
  </w:style>
  <w:style w:type="character" w:styleId="568" w:customStyle="1">
    <w:name w:val="Текст Знак"/>
    <w:basedOn w:val="563"/>
    <w:link w:val="567"/>
    <w:uiPriority w:val="99"/>
    <w:semiHidden/>
    <w:rPr>
      <w:rFonts w:ascii="Calibri" w:hAnsi="Calibri" w:cs="Times New Roman" w:eastAsia="Calibri"/>
      <w:szCs w:val="21"/>
    </w:rPr>
  </w:style>
  <w:style w:type="paragraph" w:styleId="569">
    <w:name w:val="Footer"/>
    <w:basedOn w:val="562"/>
    <w:link w:val="570"/>
    <w:uiPriority w:val="99"/>
    <w:rPr>
      <w:rFonts w:ascii="Times New Roman" w:hAnsi="Times New Roman" w:cs="Times New Roman" w:eastAsia="Times New Roman"/>
      <w:sz w:val="28"/>
      <w:szCs w:val="28"/>
      <w:lang w:eastAsia="ru-RU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570" w:customStyle="1">
    <w:name w:val="Нижний колонтитул Знак"/>
    <w:basedOn w:val="563"/>
    <w:link w:val="569"/>
    <w:uiPriority w:val="99"/>
    <w:rPr>
      <w:rFonts w:ascii="Times New Roman" w:hAnsi="Times New Roman" w:cs="Times New Roman" w:eastAsia="Times New Roman"/>
      <w:sz w:val="28"/>
      <w:szCs w:val="28"/>
      <w:lang w:eastAsia="ru-RU"/>
    </w:rPr>
  </w:style>
  <w:style w:type="paragraph" w:styleId="571">
    <w:name w:val="Balloon Text"/>
    <w:basedOn w:val="562"/>
    <w:link w:val="572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572" w:customStyle="1">
    <w:name w:val="Текст выноски Знак"/>
    <w:basedOn w:val="563"/>
    <w:link w:val="571"/>
    <w:uiPriority w:val="99"/>
    <w:semiHidden/>
    <w:rPr>
      <w:rFonts w:ascii="Segoe UI" w:hAnsi="Segoe UI" w:cs="Segoe UI"/>
      <w:sz w:val="18"/>
      <w:szCs w:val="18"/>
    </w:rPr>
  </w:style>
  <w:style w:type="paragraph" w:styleId="573">
    <w:name w:val="List Paragraph"/>
    <w:basedOn w:val="562"/>
    <w:qFormat/>
    <w:uiPriority w:val="34"/>
    <w:pPr>
      <w:contextualSpacing w:val="true"/>
      <w:ind w:left="720"/>
    </w:pPr>
  </w:style>
  <w:style w:type="character" w:styleId="574">
    <w:name w:val="Hyperlink"/>
    <w:basedOn w:val="563"/>
    <w:uiPriority w:val="99"/>
    <w:unhideWhenUsed/>
    <w:rPr>
      <w:color w:val="0563C1" w:themeColor="hyperlink"/>
      <w:u w:val="single"/>
    </w:rPr>
  </w:style>
  <w:style w:type="paragraph" w:styleId="575" w:customStyle="1">
    <w:name w:val="ConsPlusNormal"/>
    <w:rPr>
      <w:rFonts w:ascii="Calibri" w:hAnsi="Calibri" w:cs="Calibri" w:eastAsia="Times New Roman"/>
      <w:szCs w:val="20"/>
      <w:lang w:eastAsia="ru-RU"/>
    </w:rPr>
    <w:pPr>
      <w:spacing w:lineRule="auto" w:line="240" w:after="0"/>
      <w:widowControl w:val="off"/>
    </w:pPr>
  </w:style>
  <w:style w:type="paragraph" w:styleId="576">
    <w:name w:val="Header"/>
    <w:basedOn w:val="562"/>
    <w:link w:val="57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577" w:customStyle="1">
    <w:name w:val="Верхний колонтитул Знак"/>
    <w:basedOn w:val="563"/>
    <w:link w:val="576"/>
    <w:uiPriority w:val="99"/>
  </w:style>
  <w:style w:type="paragraph" w:styleId="578">
    <w:name w:val="No Spacing"/>
    <w:qFormat/>
    <w:uiPriority w:val="1"/>
    <w:rPr>
      <w:rFonts w:ascii="Courier New" w:hAnsi="Courier New" w:cs="Courier New" w:eastAsia="Courier New"/>
      <w:color w:val="000000"/>
      <w:sz w:val="24"/>
      <w:szCs w:val="24"/>
      <w:lang w:eastAsia="ru-RU"/>
    </w:rPr>
    <w:pPr>
      <w:spacing w:lineRule="auto" w:line="240" w:after="0"/>
      <w:widowControl w:val="off"/>
    </w:pPr>
  </w:style>
  <w:style w:type="paragraph" w:styleId="579" w:customStyle="1">
    <w:name w:val="docdata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image" Target="media/image1.jp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Р7-Офис/5.5.2.19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revision>8</cp:revision>
  <dcterms:created xsi:type="dcterms:W3CDTF">2022-09-26T23:30:00Z</dcterms:created>
  <dcterms:modified xsi:type="dcterms:W3CDTF">2023-08-15T04:47:13Z</dcterms:modified>
</cp:coreProperties>
</file>