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8" y="0"/>
                <wp:lineTo x="-38" y="20855"/>
                <wp:lineTo x="20930" y="20855"/>
                <wp:lineTo x="20930" y="0"/>
                <wp:lineTo x="-38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f2"/>
        <w:tblW w:w="9759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59"/>
      </w:tblGrid>
      <w:tr>
        <w:trPr/>
        <w:tc>
          <w:tcPr>
            <w:tcW w:w="97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О внесении изменений в приложение к постановлению Правительства Камчатского края от 11.11.2008 № 357-П «Об утверждении Примерного положения о системе оплаты труда работников государственных учреждений, подведомственных Министерству социального благополучия и семейной политики Камчатского края»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bCs/>
          <w:sz w:val="28"/>
          <w:szCs w:val="28"/>
        </w:rPr>
        <w:t>1. Внести в приложение к постановлению Правительства Камчатского края от 11.11.2008 № 357-П «Об утверждении Примерного положения о системе оплаты труда работников государственных учреждений, подведомственных Министерству социального благополучия и семейной политики Камчатского края» изменения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bCs/>
          <w:sz w:val="28"/>
          <w:szCs w:val="28"/>
        </w:rPr>
        <w:t xml:space="preserve">2. Настоящее постановление вступает в силу после дня его официального опубликования </w:t>
      </w:r>
      <w:r>
        <w:rPr>
          <w:rFonts w:ascii="Times New Roman" w:hAnsi="Times New Roman"/>
          <w:bCs/>
          <w:sz w:val="28"/>
          <w:szCs w:val="28"/>
        </w:rPr>
        <w:t>и распространяется на правоотношения, возникшие с 1 декабря 2024 года</w:t>
      </w:r>
      <w:r>
        <w:rPr>
          <w:rFonts w:ascii="Times New Roman" w:hAnsi="Times New Roman"/>
          <w:bCs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90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578"/>
        <w:gridCol w:w="3544"/>
        <w:gridCol w:w="2568"/>
      </w:tblGrid>
      <w:tr>
        <w:trPr>
          <w:trHeight w:val="222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>
            <w:pPr>
              <w:pStyle w:val="Normal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6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</w:t>
            </w:r>
            <w:bookmarkStart w:id="2" w:name="_GoBack_Копия_1"/>
            <w:bookmarkEnd w:id="2"/>
            <w:r>
              <w:rPr>
                <w:rFonts w:ascii="Times New Roman" w:hAnsi="Times New Roman"/>
                <w:sz w:val="28"/>
                <w:szCs w:val="28"/>
              </w:rPr>
              <w:t>А. Чекин</w:t>
            </w:r>
          </w:p>
        </w:tc>
      </w:tr>
    </w:tbl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aff2"/>
        <w:tblW w:w="9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"/>
        <w:gridCol w:w="480"/>
        <w:gridCol w:w="481"/>
        <w:gridCol w:w="3662"/>
        <w:gridCol w:w="480"/>
        <w:gridCol w:w="1872"/>
        <w:gridCol w:w="485"/>
        <w:gridCol w:w="1697"/>
      </w:tblGrid>
      <w:tr>
        <w:trPr/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к постановлению</w:t>
            </w:r>
          </w:p>
        </w:tc>
      </w:tr>
      <w:tr>
        <w:trPr/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ascii="Times New Roman" w:hAnsi="Times New Roman"/>
          <w:sz w:val="28"/>
          <w:shd w:fill="FFFFFF" w:val="clear"/>
        </w:rPr>
        <w:t>Изменения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ascii="Times New Roman" w:hAnsi="Times New Roman"/>
          <w:sz w:val="28"/>
          <w:shd w:fill="FFFFFF" w:val="clear"/>
        </w:rPr>
        <w:t xml:space="preserve">в приложение к </w:t>
      </w:r>
      <w:r>
        <w:rPr>
          <w:rFonts w:ascii="Times New Roman" w:hAnsi="Times New Roman"/>
          <w:bCs/>
          <w:sz w:val="28"/>
          <w:shd w:fill="FFFFFF" w:val="clear"/>
        </w:rPr>
        <w:t>постановлению Правительства Камча</w:t>
      </w:r>
      <w:r>
        <w:rPr>
          <w:rFonts w:ascii="Times New Roman" w:hAnsi="Times New Roman"/>
          <w:bCs/>
          <w:sz w:val="28"/>
        </w:rPr>
        <w:t>тского края от 11.11.2008 № 357-П «Об утверждении Примерного положения о системе оплаты труда работников государственных учреждений, подведомственных Министерству социального благополучия и семейной политики Камчатского края»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hd w:fill="FFFFFF" w:val="clear"/>
        </w:rPr>
        <w:t>1. Части 11 изложить в следующей редакции: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rFonts w:ascii="Times New Roman" w:hAnsi="Times New Roman"/>
          <w:bCs/>
          <w:sz w:val="28"/>
        </w:rPr>
        <w:t>«</w:t>
      </w:r>
      <w:r>
        <w:rPr>
          <w:rFonts w:ascii="Times New Roman" w:hAnsi="Times New Roman"/>
          <w:bCs/>
          <w:sz w:val="28"/>
          <w:szCs w:val="28"/>
        </w:rPr>
        <w:t>11. Рекомендуемые размеры основных окладов работников государственных учреждений, подведомственных Министерству, устанавливаются на основе отнесения занимаемых ими должностей к профессиональным квалификационным группам, утвержденным: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п</w:t>
      </w:r>
      <w:hyperlink r:id="rId3" w:tgtFrame="consultantplus://offline/ref=08264AF13D093FAE14FFC866991ABDCE4FA16517AF93E5083ACD7D8686C7F11EEFFE3F281CF9DD9235E9B643E0iFa2C">
        <w:r>
          <w:rPr>
            <w:rStyle w:val="ListLabel1"/>
            <w:rFonts w:ascii="Times New Roman" w:hAnsi="Times New Roman"/>
            <w:bCs/>
            <w:sz w:val="28"/>
            <w:szCs w:val="28"/>
          </w:rPr>
          <w:t>риказом</w:t>
        </w:r>
      </w:hyperlink>
      <w:r>
        <w:rPr>
          <w:rFonts w:ascii="Times New Roman" w:hAnsi="Times New Roman"/>
          <w:bCs/>
          <w:sz w:val="28"/>
          <w:szCs w:val="28"/>
        </w:rPr>
        <w:t xml:space="preserve"> Министерства здравоохранения и социального развития Российской Федерации от 06.08.2007 № 526 «Об утверждении профессиональных квалификационных групп должностей медицинских и фармацевтических работников»: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rHeight w:val="72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квалификационная группа должностей медицинских и фармацевтических работников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Рекомендуемые размеры основных окладов, рублей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blHeader w:val="true"/>
          <w:trHeight w:val="32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blHeader w:val="true"/>
          <w:trHeight w:val="32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Должности, отнесенные к ПКГ «Медицинский и фармацевтический персонал первого уровня» 1 квалификационный уровень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4391–7020</w:t>
            </w:r>
          </w:p>
        </w:tc>
      </w:tr>
      <w:tr>
        <w:trPr>
          <w:tblHeader w:val="true"/>
          <w:trHeight w:val="377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Должности, отнесенные к ПКГ «Средний медицинский и фармацевтический персонал»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5390–13201</w:t>
            </w:r>
          </w:p>
        </w:tc>
      </w:tr>
      <w:tr>
        <w:trPr>
          <w:trHeight w:val="459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Должности, отнесенные к ПКГ «Врачи и провизоры»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8706–16306</w:t>
            </w:r>
          </w:p>
        </w:tc>
      </w:tr>
      <w:tr>
        <w:trPr>
          <w:trHeight w:val="746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Должности, отнесенные к ПКГ «Руководители структурных подразделений учреждений с высшим медицинским и фармацевтическим образованием (врач-специалист, провизор)»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11987–13506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;</w:t>
      </w:r>
    </w:p>
    <w:p>
      <w:pPr>
        <w:sectPr>
          <w:type w:val="nextPage"/>
          <w:pgSz w:w="11906" w:h="16838"/>
          <w:pgMar w:left="1418" w:right="851" w:gutter="0" w:header="0" w:top="1134" w:footer="0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hyperlink r:id="rId4" w:tgtFrame="consultantplus://offline/ref=E55C662D9509DD22A8618E636CCF307A066CD036DE56401BC3C532FEBC435A85DD3B9DA3462689E9A704D6BCF1q2vDA">
        <w:r>
          <w:rPr>
            <w:rStyle w:val="ListLabel2"/>
            <w:rFonts w:ascii="Times New Roman" w:hAnsi="Times New Roman"/>
            <w:sz w:val="28"/>
            <w:szCs w:val="28"/>
          </w:rPr>
          <w:t>приказом</w:t>
        </w:r>
      </w:hyperlink>
      <w:r>
        <w:rPr>
          <w:rFonts w:ascii="Times New Roman" w:hAnsi="Times New Roman"/>
          <w:sz w:val="28"/>
          <w:szCs w:val="28"/>
        </w:rPr>
        <w:t xml:space="preserve"> Министерства здравоохранения и социального развития Российской Федерации от 31.03.2008 № 149н «Об утверждении профессиональных квалификационных групп должностей работников, занятых в сфере здравоохранения и предоставления социальных услуг»: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rHeight w:val="89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квалификационная группа должностей работников, занятых в сфере здравоохранения и предоставления социальных услуг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Рекомендуемые размеры основных окладов, рублей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blHeader w:val="true"/>
          <w:trHeight w:val="32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660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Должности, отнесенные к ПКГ «Должности специалистов второго уровня, осуществляющих предоставление социальных услуг»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6560–6909</w:t>
            </w:r>
          </w:p>
        </w:tc>
      </w:tr>
      <w:tr>
        <w:trPr>
          <w:trHeight w:val="660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Должности, отнесенные к ПКГ «Должности специалистов третьего уровня в учреждениях здравоохранения и осуществляющих предоставление социальных услуг»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6909–11811</w:t>
            </w:r>
          </w:p>
        </w:tc>
      </w:tr>
      <w:tr>
        <w:trPr>
          <w:trHeight w:val="690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Должности, отнесенные к ПКГ «Должности руководителей в учреждениях здравоохранения и осуществляющих предоставление социальных услуг»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9168–12952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hyperlink r:id="rId5" w:tgtFrame="consultantplus://offline/ref=E55C662D9509DD22A8618E636CCF307A036CD130DA551D11CB9C3EFCBB4C0580C82AC5AC403C97EABA18D4BEqFv1A">
        <w:r>
          <w:rPr>
            <w:rStyle w:val="ListLabel2"/>
            <w:rFonts w:ascii="Times New Roman" w:hAnsi="Times New Roman"/>
            <w:sz w:val="28"/>
            <w:szCs w:val="28"/>
          </w:rPr>
          <w:t>приказом</w:t>
        </w:r>
      </w:hyperlink>
      <w:r>
        <w:rPr>
          <w:rFonts w:ascii="Times New Roman" w:hAnsi="Times New Roman"/>
          <w:sz w:val="28"/>
          <w:szCs w:val="28"/>
        </w:rPr>
        <w:t xml:space="preserve"> Министерства здравоохранения и социального развития Российской Федерации от 31.08.2007 № 570 «Об утверждении профессиональных квалификационных групп должностей работников культуры, искусства и кинематографии»: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rHeight w:val="806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квалификационная группа должностей работников культуры, искусства и кинематографии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Рекомендуемые размеры основных окладов, рублей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blHeader w:val="true"/>
          <w:trHeight w:val="32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660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Должности, отнесенные к ПКГ«Должности работников культуры, искусства и кинематографии среднего звена»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5390–8352</w:t>
            </w:r>
          </w:p>
        </w:tc>
      </w:tr>
      <w:tr>
        <w:trPr>
          <w:trHeight w:val="746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Должности, отнесенные к ПКГ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«Должности работников культуры, искусства и кинематографии ведущего звена»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8352–9019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</w:t>
      </w:r>
      <w:hyperlink r:id="rId6" w:tgtFrame="consultantplus://offline/ref=E55C662D9509DD22A8618E636CCF307A056FD135DE59401BC3C532FEBC435A85DD3B9DA3462689E9A704D6BCF1q2vDA">
        <w:r>
          <w:rPr>
            <w:rStyle w:val="ListLabel2"/>
            <w:rFonts w:ascii="Times New Roman" w:hAnsi="Times New Roman"/>
            <w:sz w:val="28"/>
            <w:szCs w:val="28"/>
          </w:rPr>
          <w:t>риказом</w:t>
        </w:r>
      </w:hyperlink>
      <w:r>
        <w:rPr>
          <w:rFonts w:ascii="Times New Roman" w:hAnsi="Times New Roman"/>
          <w:sz w:val="28"/>
          <w:szCs w:val="28"/>
        </w:rPr>
        <w:t xml:space="preserve"> Министерства здравоохранения и социального развития Российской Федерации от 05.05.2008 № 216н «Об утверждении профессиональных квалификационных групп должностей работников образования»: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rHeight w:val="559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квалификационная группа должностей работников образования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Рекомендуемые размеры основных окладов, рублей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blHeader w:val="true"/>
          <w:trHeight w:val="32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687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Должности, отнесенные к ПКГ должностей работников учебно-вспомогательного персонала первого уровня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4391–5696</w:t>
            </w:r>
          </w:p>
        </w:tc>
      </w:tr>
      <w:tr>
        <w:trPr>
          <w:trHeight w:val="746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Должности, отнесенные к ПКГ должностей работников учебно-вспомогательного персонала второго уровня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4860–5909</w:t>
            </w:r>
          </w:p>
        </w:tc>
      </w:tr>
      <w:tr>
        <w:trPr>
          <w:trHeight w:val="746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Должности, отнесенные к ПКГ должностей педагогических работников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5696–14592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</w:t>
      </w:r>
      <w:hyperlink r:id="rId7" w:tgtFrame="consultantplus://offline/ref=E55C662D9509DD22A8618E636CCF307A0C69D536D9551D11CB9C3EFCBB4C0580C82AC5AC403C97EABA18D4BEqFv1A">
        <w:r>
          <w:rPr>
            <w:rStyle w:val="ListLabel2"/>
            <w:rFonts w:ascii="Times New Roman" w:hAnsi="Times New Roman"/>
            <w:sz w:val="28"/>
            <w:szCs w:val="28"/>
          </w:rPr>
          <w:t>риказом</w:t>
        </w:r>
      </w:hyperlink>
      <w:r>
        <w:rPr>
          <w:rFonts w:ascii="Times New Roman" w:hAnsi="Times New Roman"/>
          <w:sz w:val="28"/>
          <w:szCs w:val="28"/>
        </w:rPr>
        <w:t xml:space="preserve"> Министерства здравоохранения и социального развития Российской Федерации от 29.05.2008 № 247н «Об утверждении профессиональных квалификационных групп общеотраслевых должностей руководителей, специалистов и служащих»: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rHeight w:val="60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квалификационная группа общеотраслевых должностей руководителей, специалистов и служащих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Рекомендуемые размеры основных окладов, рублей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blHeader w:val="true"/>
          <w:trHeight w:val="32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44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Должности, отнесенные к ПКГ «Общеотраслевые должности служащих первого уровня»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4391–6255</w:t>
            </w:r>
          </w:p>
        </w:tc>
      </w:tr>
      <w:tr>
        <w:trPr>
          <w:trHeight w:val="52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Должности, отнесенные к ПКГ «Общеотраслевые должности служащих второго уровня»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5390–9727</w:t>
            </w:r>
          </w:p>
        </w:tc>
      </w:tr>
      <w:tr>
        <w:trPr>
          <w:trHeight w:val="46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Должности, отнесенные к ПКГ «Общеотраслевые должности служащих третьего уровня»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6560–13896</w:t>
            </w:r>
          </w:p>
        </w:tc>
      </w:tr>
      <w:tr>
        <w:trPr>
          <w:trHeight w:val="559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Должности, отнесенные к ПКГ «Общеотраслевые должности служащих четвертого уровня»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FFFFFF" w:val="clear"/>
              </w:rPr>
              <w:t>6562–14592</w:t>
            </w:r>
          </w:p>
        </w:tc>
      </w:tr>
    </w:tbl>
    <w:p>
      <w:pPr>
        <w:pStyle w:val="Normal"/>
        <w:spacing w:lineRule="auto" w:line="240" w:before="0" w:after="0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6) </w:t>
      </w:r>
      <w:hyperlink r:id="rId8" w:tgtFrame="consultantplus://offline/ref=08264AF13D093FAE14FFC866991ABDCE45A46017AF99B8023294718481C8AE1BFAEF67261FE7C39128F5B441iEa3C">
        <w:r>
          <w:rPr>
            <w:rStyle w:val="ListLabel1"/>
            <w:rFonts w:ascii="Times New Roman" w:hAnsi="Times New Roman"/>
            <w:bCs/>
            <w:sz w:val="28"/>
            <w:szCs w:val="28"/>
          </w:rPr>
          <w:t>приказом</w:t>
        </w:r>
      </w:hyperlink>
      <w:r>
        <w:rPr>
          <w:rFonts w:ascii="Times New Roman" w:hAnsi="Times New Roman"/>
          <w:bCs/>
          <w:sz w:val="28"/>
          <w:szCs w:val="28"/>
        </w:rPr>
        <w:t xml:space="preserve"> Министерства здравоохранения и социального развития Российской Федерации от 17.05.2012 № 559н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руководителей и специалистов, осуществляющих работы в области охраны труда»: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rHeight w:val="59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должности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Рекомендуемые размеры основных окладов, рублей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blHeader w:val="true"/>
          <w:trHeight w:val="20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6562–10679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7) </w:t>
      </w:r>
      <w:hyperlink r:id="rId9" w:tgtFrame="consultantplus://offline/ref=DC8C567851823B114454F7614602A7CA48744F1BDC72F869034E8AAD85E31F94290C6ECB73DD190310E48FB698B9mDA">
        <w:r>
          <w:rPr>
            <w:rStyle w:val="ListLabel1"/>
            <w:rFonts w:ascii="Times New Roman" w:hAnsi="Times New Roman"/>
            <w:bCs/>
            <w:sz w:val="28"/>
            <w:szCs w:val="28"/>
          </w:rPr>
          <w:t>приказом</w:t>
        </w:r>
      </w:hyperlink>
      <w:r>
        <w:rPr>
          <w:rFonts w:ascii="Times New Roman" w:hAnsi="Times New Roman"/>
          <w:bCs/>
          <w:sz w:val="28"/>
          <w:szCs w:val="28"/>
        </w:rPr>
        <w:t xml:space="preserve"> Министерства труда и социальной защиты Российской Федерации от 10.09.2015 № 625н «Об утверждении профессионального стандарта «Специалист в сфере закупок»: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rHeight w:val="59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должности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Рекомендуемые размеры основных окладов, рублей</w:t>
            </w:r>
          </w:p>
        </w:tc>
      </w:tr>
      <w:tr>
        <w:trPr>
          <w:trHeight w:val="32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Специалист по закупкам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6909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8) </w:t>
      </w:r>
      <w:hyperlink r:id="rId10" w:tgtFrame="consultantplus://offline/ref=C31865CF5CC4B962D922116C4A2C81EB3895B496FCD760B5D622CDF30B93EA911D40B8AC297356D45E9D20660EK654C">
        <w:r>
          <w:rPr>
            <w:rStyle w:val="ListLabel1"/>
            <w:rFonts w:ascii="Times New Roman" w:hAnsi="Times New Roman"/>
            <w:bCs/>
            <w:sz w:val="28"/>
            <w:szCs w:val="28"/>
          </w:rPr>
          <w:t>приказом</w:t>
        </w:r>
      </w:hyperlink>
      <w:r>
        <w:rPr>
          <w:rFonts w:ascii="Times New Roman" w:hAnsi="Times New Roman"/>
          <w:bCs/>
          <w:sz w:val="28"/>
          <w:szCs w:val="28"/>
        </w:rPr>
        <w:t xml:space="preserve"> Министерства здравоохранения и социального развития Российской Федерации от 30.03.2011 № 251н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культуры, искусства и кинематографии»: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rHeight w:val="59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должности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Рекомендуемые размеры основных окладов, рублей</w:t>
            </w:r>
          </w:p>
        </w:tc>
      </w:tr>
      <w:tr>
        <w:trPr>
          <w:trHeight w:val="32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906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Должности, отнесенные в соответствии с квалификационными характеристиками должностей работников культуры, искусства и кинематографии ведущего звена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6025–9661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9) приказом Министерства здравоохранения и социального развития </w:t>
      </w:r>
      <w:r>
        <w:rPr>
          <w:rFonts w:ascii="Times New Roman" w:hAnsi="Times New Roman"/>
          <w:bCs/>
          <w:sz w:val="28"/>
          <w:szCs w:val="28"/>
        </w:rPr>
        <w:br w:type="textWrapping" w:clear="all"/>
      </w:r>
      <w:r>
        <w:rPr>
          <w:rFonts w:ascii="Times New Roman" w:hAnsi="Times New Roman"/>
          <w:bCs/>
          <w:sz w:val="28"/>
          <w:szCs w:val="28"/>
        </w:rPr>
        <w:t>от 27.02.2012 № 165н «Об утверждении профессиональных квалификационных групп должностей работников физической культуры и спорта»: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rHeight w:val="59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Рекомендуемые размеры основных окладов, рублей</w:t>
            </w:r>
          </w:p>
        </w:tc>
      </w:tr>
      <w:tr>
        <w:trPr>
          <w:trHeight w:val="32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Должности работников физической культуры и спорта второго уровня 1 квалификационного уровня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6118–11495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;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10) приказом Министерства труда и социальной защиты Российской Федерации от 31.05.2023 № 482н «Об утверждении профессионального стандарта «Помощник по уходу»: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rHeight w:val="60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Рекомендуемые размеры основных окладов, рублей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blHeader w:val="true"/>
          <w:trHeight w:val="32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44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8"/>
                <w:highlight w:val="white"/>
              </w:rPr>
              <w:t>Помощник по уходу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ind w:left="57" w:right="57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6909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FFFFFF" w:val="clear"/>
        </w:rPr>
        <w:t>.</w:t>
      </w:r>
      <w:r>
        <w:rPr>
          <w:rFonts w:ascii="Times New Roman" w:hAnsi="Times New Roman"/>
          <w:sz w:val="28"/>
          <w:shd w:fill="FFFFFF" w:val="clear"/>
        </w:rPr>
        <w:t>»</w:t>
      </w:r>
      <w:r>
        <w:rPr>
          <w:rFonts w:ascii="Times New Roman" w:hAnsi="Times New Roman"/>
          <w:sz w:val="28"/>
          <w:shd w:fill="FFFFFF" w:val="clear"/>
          <w:lang w:val="en-US"/>
        </w:rPr>
        <w:t>.</w:t>
      </w:r>
    </w:p>
    <w:p>
      <w:pPr>
        <w:pStyle w:val="Normal"/>
        <w:spacing w:lineRule="auto" w:line="240" w:before="0" w:after="0"/>
        <w:ind w:firstLine="680"/>
        <w:rPr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  <w:t xml:space="preserve">3. </w:t>
      </w:r>
      <w:r>
        <w:rPr>
          <w:rFonts w:ascii="Times New Roman" w:hAnsi="Times New Roman"/>
          <w:sz w:val="28"/>
          <w:szCs w:val="28"/>
          <w:shd w:fill="FFFFFF" w:val="clear"/>
        </w:rPr>
        <w:t>Часть 24 изложить в следующей редакции: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«24. Рекомендуемые размеры основных окладов работников государственных учреждений, подведомственных Министерству, устанавливаются на основе отнесения занимаемых ими должностей рабочих к ПКГ по профессиям рабочих, утвержденным п</w:t>
      </w:r>
      <w:hyperlink r:id="rId11" w:tgtFrame="consultantplus://offline/ref=E55C662D9509DD22A8618E636CCF307A0364D137DD551D11CB9C3EFCBB4C0580C82AC5AC403C97EABA18D4BEqFv1A">
        <w:r>
          <w:rPr>
            <w:rStyle w:val="ListLabel2"/>
            <w:rFonts w:ascii="Times New Roman" w:hAnsi="Times New Roman"/>
            <w:sz w:val="28"/>
            <w:szCs w:val="28"/>
          </w:rPr>
          <w:t>риказом</w:t>
        </w:r>
      </w:hyperlink>
      <w:r>
        <w:rPr>
          <w:rFonts w:ascii="Times New Roman" w:hAnsi="Times New Roman"/>
          <w:sz w:val="28"/>
          <w:szCs w:val="28"/>
        </w:rPr>
        <w:t xml:space="preserve"> Министерства здравоохранения и социального развития Российской Федерации от 29.05.2008 № 248н «Об утверждении профессиональных квалификационных групп общеотраслевых профессий рабочих»:</w:t>
      </w:r>
    </w:p>
    <w:p>
      <w:pPr>
        <w:pStyle w:val="Normal"/>
        <w:widowControl w:val="false"/>
        <w:spacing w:lineRule="auto" w:line="240" w:before="0" w:after="0"/>
        <w:jc w:val="right"/>
        <w:rPr/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8"/>
        <w:gridCol w:w="2957"/>
      </w:tblGrid>
      <w:tr>
        <w:trPr>
          <w:trHeight w:val="59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Рекомендуемые размеры основных окладов, рублей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8"/>
        <w:gridCol w:w="2957"/>
      </w:tblGrid>
      <w:tr>
        <w:trPr>
          <w:tblHeader w:val="true"/>
          <w:trHeight w:val="32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квалификационный уровень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профессий рабочих, по которым предусмотрено присвоение 1, 2 и 3 квалификационных разрядов в соответствии с Единым тарифно-квалификационным </w:t>
            </w:r>
            <w:hyperlink r:id="rId12" w:tgtFrame="consultantplus://offline/ref=17C1C6504F2396503A5EC15E570BCC6FCFE678C64C8542E6407C45BB8E11E82857A36F390F11742737A6C893D5DDA48A1AD55F5583AE6709Y20BA">
              <w:r>
                <w:rPr>
                  <w:rStyle w:val="ListLabel3"/>
                  <w:rFonts w:ascii="Times New Roman" w:hAnsi="Times New Roman"/>
                  <w:bCs/>
                  <w:sz w:val="24"/>
                  <w:szCs w:val="24"/>
                </w:rPr>
                <w:t>справочником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работ и профессий рабочих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FFFFFF" w:val="clear"/>
              </w:rPr>
              <w:t>4116–6255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2.</w:t>
            </w:r>
          </w:p>
        </w:tc>
        <w:tc>
          <w:tcPr>
            <w:tcW w:w="8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FFFFFF" w:val="clear"/>
              </w:rPr>
              <w:t>2 квалификационный уровень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Профессии рабочих, отнесенных к первому квалификационному уровню, при выполнении работ по профессии с производным наименованием «старший» (старший по смене)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FFFFFF" w:val="clear"/>
              </w:rPr>
              <w:t>4322–6742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FFFFFF" w:val="clear"/>
        </w:rPr>
        <w:t>Таблица 2</w:t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7"/>
        <w:gridCol w:w="2958"/>
      </w:tblGrid>
      <w:tr>
        <w:trPr>
          <w:trHeight w:val="593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Рекомендуемые размеры основных окладов, рублей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61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1"/>
        <w:gridCol w:w="5958"/>
        <w:gridCol w:w="2957"/>
      </w:tblGrid>
      <w:tr>
        <w:trPr>
          <w:tblHeader w:val="true"/>
          <w:trHeight w:val="321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квалификационный уровень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FFFFFF" w:val="clear"/>
              </w:rPr>
              <w:t>4856–7227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2.</w:t>
            </w:r>
          </w:p>
        </w:tc>
        <w:tc>
          <w:tcPr>
            <w:tcW w:w="8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FFFFFF" w:val="clear"/>
              </w:rPr>
              <w:t>2 квалификационный уровень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Профессии рабочих, по которым предусмотрено присвоение 6 и 7 квалификационных разрядов в соответствии с Единым тарифно-квалификационным </w:t>
            </w:r>
            <w:hyperlink r:id="rId13" w:tgtFrame="consultantplus://offline/ref=B7A9FE9EFC6DE6118384DD8048EE52C9D6D5E711F56EF4F67071933BA4C0606DD963E00C59C420DC5CB1D84AD651AA47D52C5E97427E016EECA7B">
              <w:r>
                <w:rPr>
                  <w:rStyle w:val="ListLabel3"/>
                  <w:rFonts w:ascii="Times New Roman" w:hAnsi="Times New Roman"/>
                  <w:bCs/>
                  <w:sz w:val="24"/>
                  <w:szCs w:val="24"/>
                </w:rPr>
                <w:t>справочником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работ и профессий рабочих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FFFFFF" w:val="clear"/>
              </w:rPr>
              <w:t>5957–8479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3.</w:t>
            </w:r>
          </w:p>
        </w:tc>
        <w:tc>
          <w:tcPr>
            <w:tcW w:w="8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FFFFFF" w:val="clear"/>
              </w:rPr>
              <w:t>3 квалификационный уровень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профессий рабочих, по которым предусмотрено присвоение 8 квалификационного разряда в соответствии с Единым тарифно-квалификационным </w:t>
            </w:r>
            <w:hyperlink r:id="rId14" w:tgtFrame="consultantplus://offline/ref=12EB69D828F724F2350BB08D6152C93BF50761596E0F2673B0E866313B8240A3D258A0207D1280764F2AEC454CAC5832ED99A9C84B7BDF8AQBD0B">
              <w:r>
                <w:rPr>
                  <w:rStyle w:val="ListLabel3"/>
                  <w:rFonts w:ascii="Times New Roman" w:hAnsi="Times New Roman"/>
                  <w:bCs/>
                  <w:sz w:val="24"/>
                  <w:szCs w:val="24"/>
                </w:rPr>
                <w:t>справочником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работ и профессий рабочих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widowControl w:val="false"/>
              <w:spacing w:lineRule="auto" w:line="240" w:before="0" w:after="0"/>
              <w:jc w:val="center"/>
              <w:rPr>
                <w:shd w:fill="FFFFFF" w:val="clea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fill="FFFFFF" w:val="clear"/>
              </w:rPr>
              <w:t>6909–9173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 квалификационный уровень</w:t>
            </w:r>
          </w:p>
        </w:tc>
      </w:tr>
      <w:tr>
        <w:trPr>
          <w:trHeight w:val="102" w:hRule="atLeast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профессий рабочих, предусмотренных </w:t>
              <w:br/>
              <w:t>1–3 квалификационными уровнями настоящей профессиональной квалификационной группой, выполняющих важные (особо важные) и ответственные (особо ответственные) работы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4852–8352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680"/>
        <w:rPr>
          <w:shd w:fill="FFFFFF" w:val="clear"/>
        </w:rPr>
      </w:pPr>
      <w:r>
        <w:rPr>
          <w:shd w:fill="FFFFFF" w:val="clear"/>
        </w:rPr>
      </w:r>
    </w:p>
    <w:p>
      <w:pPr>
        <w:pStyle w:val="Normal"/>
        <w:spacing w:before="0" w:after="160"/>
        <w:rPr>
          <w:shd w:fill="FFFFFF" w:val="clear"/>
        </w:rPr>
      </w:pPr>
      <w:r>
        <w:rPr>
          <w:shd w:fill="FFFFFF" w:val="clear"/>
        </w:rPr>
      </w:r>
    </w:p>
    <w:sectPr>
      <w:headerReference w:type="even" r:id="rId15"/>
      <w:headerReference w:type="default" r:id="rId16"/>
      <w:headerReference w:type="first" r:id="rId17"/>
      <w:footerReference w:type="even" r:id="rId18"/>
      <w:footerReference w:type="default" r:id="rId19"/>
      <w:footerReference w:type="first" r:id="rId20"/>
      <w:type w:val="nextPage"/>
      <w:pgSz w:w="11906" w:h="16838"/>
      <w:pgMar w:left="1418" w:right="851" w:gutter="0" w:header="1134" w:top="1739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XO Thames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973243472"/>
    </w:sdtPr>
    <w:sdtContent>
      <w:p>
        <w:pPr>
          <w:pStyle w:val="Header"/>
          <w:jc w:val="center"/>
          <w:rPr/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4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58457891"/>
    </w:sdtPr>
    <w:sdtContent>
      <w:p>
        <w:pPr>
          <w:pStyle w:val="Header"/>
          <w:jc w:val="center"/>
          <w:rPr>
            <w:rFonts w:ascii="Times New Roman" w:hAnsi="Times New Roman"/>
            <w:sz w:val="28"/>
            <w:szCs w:val="28"/>
          </w:rPr>
        </w:pPr>
        <w:bookmarkStart w:id="3" w:name="_GoBack_Копия_2_Копия_5"/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3</w:t>
        </w:r>
        <w:r>
          <w:rPr>
            <w:sz w:val="28"/>
            <w:szCs w:val="28"/>
            <w:rFonts w:ascii="Times New Roman" w:hAnsi="Times New Roman"/>
          </w:rPr>
          <w:fldChar w:fldCharType="end"/>
        </w:r>
        <w:bookmarkEnd w:id="3"/>
      </w:p>
    </w:sdtContent>
  </w:sdt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87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link w:val="1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4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paragraph" w:styleId="Heading6">
    <w:name w:val="Heading 6"/>
    <w:basedOn w:val="Normal"/>
    <w:next w:val="Normal"/>
    <w:link w:val="6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Cs w:val="22"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Cs w:val="22"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Cs w:val="22"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1" w:customStyle="1">
    <w:name w:val="Подзаголовок Знак1"/>
    <w:basedOn w:val="DefaultParagraphFont"/>
    <w:uiPriority w:val="11"/>
    <w:qFormat/>
    <w:rPr>
      <w:sz w:val="24"/>
      <w:szCs w:val="24"/>
    </w:rPr>
  </w:style>
  <w:style w:type="character" w:styleId="2" w:customStyle="1">
    <w:name w:val="Цитата 2 Знак"/>
    <w:link w:val="Quote"/>
    <w:uiPriority w:val="29"/>
    <w:qFormat/>
    <w:rPr>
      <w:i/>
    </w:rPr>
  </w:style>
  <w:style w:type="character" w:styleId="Style6" w:customStyle="1">
    <w:name w:val="Выделенная цитата Знак"/>
    <w:link w:val="IntenseQuote"/>
    <w:uiPriority w:val="30"/>
    <w:qFormat/>
    <w:rPr>
      <w:i/>
    </w:rPr>
  </w:style>
  <w:style w:type="character" w:styleId="11" w:customStyle="1">
    <w:name w:val="Верхний колонтитул Знак1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12" w:customStyle="1">
    <w:name w:val="Нижний колонтитул Знак1"/>
    <w:uiPriority w:val="99"/>
    <w:qFormat/>
    <w:rPr/>
  </w:style>
  <w:style w:type="character" w:styleId="Style7" w:customStyle="1">
    <w:name w:val="Текст сноски Знак"/>
    <w:uiPriority w:val="99"/>
    <w:qFormat/>
    <w:rPr>
      <w:sz w:val="18"/>
    </w:rPr>
  </w:style>
  <w:style w:type="character" w:styleId="Style8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9" w:customStyle="1">
    <w:name w:val="Текст концевой сноски Знак"/>
    <w:uiPriority w:val="99"/>
    <w:qFormat/>
    <w:rPr>
      <w:sz w:val="20"/>
    </w:rPr>
  </w:style>
  <w:style w:type="character" w:styleId="Style10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13" w:customStyle="1">
    <w:name w:val="Обычный1"/>
    <w:qFormat/>
    <w:rPr/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Style11" w:customStyle="1">
    <w:name w:val="Верхний колонтитул Знак"/>
    <w:basedOn w:val="13"/>
    <w:qFormat/>
    <w:rPr/>
  </w:style>
  <w:style w:type="character" w:styleId="61" w:customStyle="1">
    <w:name w:val="Оглавление 6 Знак"/>
    <w:qFormat/>
    <w:rPr>
      <w:rFonts w:ascii="XO Thames" w:hAnsi="XO Thames"/>
      <w:sz w:val="28"/>
    </w:rPr>
  </w:style>
  <w:style w:type="character" w:styleId="71" w:customStyle="1">
    <w:name w:val="Оглавление 7 Знак"/>
    <w:qFormat/>
    <w:rPr>
      <w:rFonts w:ascii="XO Thames" w:hAnsi="XO Thames"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Style12" w:customStyle="1">
    <w:name w:val="Текст Знак"/>
    <w:basedOn w:val="13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14" w:customStyle="1">
    <w:name w:val="Заголовок 1 Знак"/>
    <w:qFormat/>
    <w:rPr>
      <w:rFonts w:ascii="XO Thames" w:hAnsi="XO Thames"/>
      <w:b/>
      <w:sz w:val="32"/>
    </w:rPr>
  </w:style>
  <w:style w:type="character" w:styleId="Hyperlink">
    <w:name w:val="Hyperlink"/>
    <w:basedOn w:val="DefaultParagraphFont"/>
    <w:link w:val="16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5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1" w:customStyle="1">
    <w:name w:val="Оглавление 9 Знак"/>
    <w:qFormat/>
    <w:rPr>
      <w:rFonts w:ascii="XO Thames" w:hAnsi="XO Thames"/>
      <w:sz w:val="28"/>
    </w:rPr>
  </w:style>
  <w:style w:type="character" w:styleId="81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3" w:customStyle="1">
    <w:name w:val="Подзаголовок Знак"/>
    <w:qFormat/>
    <w:rPr>
      <w:rFonts w:ascii="XO Thames" w:hAnsi="XO Thames"/>
      <w:i/>
      <w:sz w:val="24"/>
    </w:rPr>
  </w:style>
  <w:style w:type="character" w:styleId="Style14" w:customStyle="1">
    <w:name w:val="Нижний колонтитул Знак"/>
    <w:basedOn w:val="13"/>
    <w:qFormat/>
    <w:rPr>
      <w:rFonts w:ascii="Times New Roman" w:hAnsi="Times New Roman"/>
      <w:sz w:val="28"/>
    </w:rPr>
  </w:style>
  <w:style w:type="character" w:styleId="Style15" w:customStyle="1">
    <w:name w:val="Название Знак"/>
    <w:qFormat/>
    <w:rPr>
      <w:rFonts w:ascii="XO Thames" w:hAnsi="XO Thames"/>
      <w:b/>
      <w:caps/>
      <w:sz w:val="40"/>
    </w:rPr>
  </w:style>
  <w:style w:type="character" w:styleId="Style16" w:customStyle="1">
    <w:name w:val="Текст выноски Знак"/>
    <w:basedOn w:val="13"/>
    <w:link w:val="BalloonText"/>
    <w:qFormat/>
    <w:rPr>
      <w:rFonts w:ascii="Segoe UI" w:hAnsi="Segoe UI"/>
      <w:sz w:val="18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2" w:customStyle="1">
    <w:name w:val="Заголовок 2 Знак"/>
    <w:qFormat/>
    <w:rPr>
      <w:rFonts w:ascii="XO Thames" w:hAnsi="XO Thames"/>
      <w:b/>
      <w:sz w:val="28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8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Quote">
    <w:name w:val="Quote"/>
    <w:basedOn w:val="Normal"/>
    <w:next w:val="Normal"/>
    <w:link w:val="2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FootnoteText">
    <w:name w:val="Footnote Text"/>
    <w:basedOn w:val="Normal"/>
    <w:link w:val="Style7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link w:val="Style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IndexHeading">
    <w:name w:val="Index Heading"/>
    <w:basedOn w:val="Style17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pPr>
      <w:spacing w:before="0" w:after="0"/>
    </w:pPr>
    <w:rPr/>
  </w:style>
  <w:style w:type="paragraph" w:styleId="Title">
    <w:name w:val="Title"/>
    <w:next w:val="BodyText"/>
    <w:link w:val="Style5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8"/>
      <w:szCs w:val="24"/>
    </w:rPr>
  </w:style>
  <w:style w:type="paragraph" w:styleId="Indexheading1">
    <w:name w:val="index heading1"/>
    <w:basedOn w:val="Normal"/>
    <w:qFormat/>
    <w:pPr>
      <w:suppressLineNumbers/>
    </w:pPr>
    <w:rPr>
      <w:rFonts w:ascii="Times New Roman" w:hAnsi="Times New Roman" w:cs="Lucida Sans"/>
    </w:rPr>
  </w:style>
  <w:style w:type="paragraph" w:styleId="TOC2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9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Normal"/>
    <w:link w:val="1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1"/>
    <w:uiPriority w:val="39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1"/>
    <w:uiPriority w:val="39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2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6" w:customStyle="1">
    <w:name w:val="Гиперссылка1"/>
    <w:basedOn w:val="17"/>
    <w:qFormat/>
    <w:pPr/>
    <w:rPr>
      <w:color w:themeColor="hyperlink" w:val="0563C1"/>
      <w:u w:val="single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5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7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TOC9">
    <w:name w:val="TOC 9"/>
    <w:next w:val="Normal"/>
    <w:link w:val="91"/>
    <w:uiPriority w:val="39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1"/>
    <w:uiPriority w:val="39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Footer">
    <w:name w:val="Footer"/>
    <w:basedOn w:val="Normal"/>
    <w:link w:val="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Style16"/>
    <w:qFormat/>
    <w:pPr>
      <w:spacing w:lineRule="auto" w:line="240" w:before="0" w:after="0"/>
    </w:pPr>
    <w:rPr>
      <w:rFonts w:ascii="Segoe UI" w:hAnsi="Segoe UI"/>
      <w:sz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5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23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9EC4E6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F4B28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CACACA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FFDA6A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91ACDC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AAD190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8A2D8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8A2D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8A2D8" w:themeColor="accent1" w:sz="4" w:space="0"/>
          <w:left w:val="single" w:color="68A2D8" w:themeColor="accent1" w:sz="4" w:space="0"/>
          <w:bottom w:val="single" w:color="68A2D8" w:themeColor="accent1" w:sz="4" w:space="0"/>
          <w:right w:val="single" w:color="68A2D8" w:themeColor="accent1" w:sz="4" w:space="0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color="68A2D8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color="4472C4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ACCCEA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CCCEA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CCCEA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auto" w:sz="0" w:space="0"/>
          <w:left w:val="single" w:color="ACCCEA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4B184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single" w:color="F4B184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5A5A5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auto" w:sz="0" w:space="0"/>
          <w:left w:val="single" w:color="A5A5A5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FD865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single" w:color="FFD865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5AFDD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5AFDD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auto" w:sz="0" w:space="0"/>
          <w:left w:val="single" w:color="95AFDD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DD394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ADD394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auto" w:sz="0" w:space="0"/>
          <w:left w:val="single" w:color="ADD394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2C6E7" w:themeColor="accent1" w:sz="4" w:space="0"/>
          <w:left w:val="none" w:color="000000" w:sz="4" w:space="0"/>
          <w:bottom w:val="single" w:color="A2C6E7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A2C6E7" w:themeColor="accent1" w:sz="4" w:space="0"/>
          <w:left w:val="none" w:color="000000" w:sz="4" w:space="0"/>
          <w:bottom w:val="single" w:color="A2C6E7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5AFDD" w:themeColor="accent5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5AFDD" w:themeColor="accent5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8DA9DB" w:themeColor="accent5" w:sz="4" w:space="0"/>
          <w:right w:val="single" w:color="8DA9DB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8DA9DB" w:themeColor="accent5" w:sz="4" w:space="0"/>
          <w:bottom w:val="single" w:color="8DA9DB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fill="5B9BD5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fill="5B9BD5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8DA9DB" w:themeColor="accent5" w:sz="32" w:space="0"/>
          <w:bottom w:val="single" w:color="FFFFFF" w:themeColor="light1" w:sz="12" w:space="0"/>
        </w:tcBorders>
        <w:shd w:val="clear" w:color="8DA9DB" w:fill="8DA9DB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8DA9DB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DA9DB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4B184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C9C9C9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9C9C9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FFD865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8DA9DB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8DA9DB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A9D08E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A9D08E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4B184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single" w:color="F4B184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C9C9C9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9C9C9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single" w:color="C9C9C9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FD865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single" w:color="FFD865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8DA9DB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8DA9DB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single" w:color="8DA9DB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9D08E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A9D08E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single" w:color="A9D08E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sz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sz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sz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sz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sz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sz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sz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sz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sz w:val="20"/>
    </w:rPr>
    <w:tblPr>
      <w:tblStyleRowBandSize w:val="1"/>
      <w:tblStyleColBandSize w:val="1"/>
      <w:tblBorders>
        <w:top w:val="single" w:color="245A8D" w:themeColor="accent1" w:sz="4" w:space="0"/>
        <w:left w:val="single" w:color="245A8D" w:themeColor="accent1" w:sz="4" w:space="0"/>
        <w:bottom w:val="single" w:color="245A8D" w:themeColor="accent1" w:sz="4" w:space="0"/>
        <w:right w:val="single" w:color="245A8D" w:themeColor="accent1" w:sz="4" w:space="0"/>
        <w:insideH w:val="single" w:color="245A8D" w:themeColor="accent1" w:sz="4" w:space="0"/>
        <w:insideV w:val="single" w:color="245A8D" w:themeColor="accent1" w:sz="4" w:space="0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sz w:val="20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sz w:val="20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sz w:val="20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sz w:val="20"/>
    </w:rPr>
    <w:tblPr>
      <w:tblStyleRowBandSize w:val="1"/>
      <w:tblStyleColBandSize w:val="1"/>
      <w:tblBorders>
        <w:top w:val="single" w:color="254175" w:themeColor="accent5" w:sz="4" w:space="0"/>
        <w:left w:val="single" w:color="254175" w:themeColor="accent5" w:sz="4" w:space="0"/>
        <w:bottom w:val="single" w:color="254175" w:themeColor="accent5" w:sz="4" w:space="0"/>
        <w:right w:val="single" w:color="254175" w:themeColor="accent5" w:sz="4" w:space="0"/>
        <w:insideH w:val="single" w:color="254175" w:themeColor="accent5" w:sz="4" w:space="0"/>
        <w:insideV w:val="single" w:color="254175" w:themeColor="accent5" w:sz="4" w:space="0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sz w:val="20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5B9BD5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5B9BD5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5B9BD5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F4B184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9C9C9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FFD865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8DA9DB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8DA9DB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8DA9DB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A9D08E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styleId="aff2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a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6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consultantplus://offline/ref=08264AF13D093FAE14FFC866991ABDCE4FA16517AF93E5083ACD7D8686C7F11EEFFE3F281CF9DD9235E9B643E0iFa2C" TargetMode="External"/><Relationship Id="rId4" Type="http://schemas.openxmlformats.org/officeDocument/2006/relationships/hyperlink" Target="consultantplus://offline/ref=E55C662D9509DD22A8618E636CCF307A066CD036DE56401BC3C532FEBC435A85DD3B9DA3462689E9A704D6BCF1q2vDA" TargetMode="External"/><Relationship Id="rId5" Type="http://schemas.openxmlformats.org/officeDocument/2006/relationships/hyperlink" Target="consultantplus://offline/ref=E55C662D9509DD22A8618E636CCF307A036CD130DA551D11CB9C3EFCBB4C0580C82AC5AC403C97EABA18D4BEqFv1A" TargetMode="External"/><Relationship Id="rId6" Type="http://schemas.openxmlformats.org/officeDocument/2006/relationships/hyperlink" Target="consultantplus://offline/ref=E55C662D9509DD22A8618E636CCF307A056FD135DE59401BC3C532FEBC435A85DD3B9DA3462689E9A704D6BCF1q2vDA" TargetMode="External"/><Relationship Id="rId7" Type="http://schemas.openxmlformats.org/officeDocument/2006/relationships/hyperlink" Target="consultantplus://offline/ref=E55C662D9509DD22A8618E636CCF307A0C69D536D9551D11CB9C3EFCBB4C0580C82AC5AC403C97EABA18D4BEqFv1A" TargetMode="External"/><Relationship Id="rId8" Type="http://schemas.openxmlformats.org/officeDocument/2006/relationships/hyperlink" Target="consultantplus://offline/ref=08264AF13D093FAE14FFC866991ABDCE45A46017AF99B8023294718481C8AE1BFAEF67261FE7C39128F5B441iEa3C" TargetMode="External"/><Relationship Id="rId9" Type="http://schemas.openxmlformats.org/officeDocument/2006/relationships/hyperlink" Target="consultantplus://offline/ref=DC8C567851823B114454F7614602A7CA48744F1BDC72F869034E8AAD85E31F94290C6ECB73DD190310E48FB698B9mDA" TargetMode="External"/><Relationship Id="rId10" Type="http://schemas.openxmlformats.org/officeDocument/2006/relationships/hyperlink" Target="consultantplus://offline/ref=C31865CF5CC4B962D922116C4A2C81EB3895B496FCD760B5D622CDF30B93EA911D40B8AC297356D45E9D20660EK654C" TargetMode="External"/><Relationship Id="rId11" Type="http://schemas.openxmlformats.org/officeDocument/2006/relationships/hyperlink" Target="consultantplus://offline/ref=E55C662D9509DD22A8618E636CCF307A0364D137DD551D11CB9C3EFCBB4C0580C82AC5AC403C97EABA18D4BEqFv1A" TargetMode="External"/><Relationship Id="rId12" Type="http://schemas.openxmlformats.org/officeDocument/2006/relationships/hyperlink" Target="consultantplus://offline/ref=17C1C6504F2396503A5EC15E570BCC6FCFE678C64C8542E6407C45BB8E11E82857A36F390F11742737A6C893D5DDA48A1AD55F5583AE6709Y20BA" TargetMode="External"/><Relationship Id="rId13" Type="http://schemas.openxmlformats.org/officeDocument/2006/relationships/hyperlink" Target="consultantplus://offline/ref=B7A9FE9EFC6DE6118384DD8048EE52C9D6D5E711F56EF4F67071933BA4C0606DD963E00C59C420DC5CB1D84AD651AA47D52C5E97427E016EECA7B" TargetMode="External"/><Relationship Id="rId14" Type="http://schemas.openxmlformats.org/officeDocument/2006/relationships/hyperlink" Target="consultantplus://offline/ref=12EB69D828F724F2350BB08D6152C93BF50761596E0F2673B0E866313B8240A3D258A0207D1280764F2AEC454CAC5832ED99A9C84B7BDF8AQBD0B" TargetMode="Externa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header" Target="header3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20" Type="http://schemas.openxmlformats.org/officeDocument/2006/relationships/footer" Target="footer3.xml"/><Relationship Id="rId21" Type="http://schemas.openxmlformats.org/officeDocument/2006/relationships/fontTable" Target="fontTable.xml"/><Relationship Id="rId22" Type="http://schemas.openxmlformats.org/officeDocument/2006/relationships/settings" Target="settings.xml"/><Relationship Id="rId2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Application>LibreOffice/24.2.3.2$Windows_X86_64 LibreOffice_project/433d9c2ded56988e8a90e6b2e771ee4e6a5ab2ba</Application>
  <AppVersion>15.0000</AppVersion>
  <Pages>7</Pages>
  <Words>1147</Words>
  <Characters>8408</Characters>
  <CharactersWithSpaces>9316</CharactersWithSpaces>
  <Paragraphs>214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2024-10-22T22:20:00Z</dcterms:created>
  <dc:creator>USER</dc:creator>
  <dc:description/>
  <dc:language>ru-RU</dc:language>
  <cp:lastModifiedBy/>
  <cp:lastPrinted>2024-10-22T22:20:00Z</cp:lastPrinted>
  <dcterms:modified xsi:type="dcterms:W3CDTF">2024-10-25T11:31:05Z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