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4" y="0"/>
                <wp:lineTo x="-14" y="20874"/>
                <wp:lineTo x="20954" y="20874"/>
                <wp:lineTo x="20954" y="0"/>
                <wp:lineTo x="-14"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a:noFill/>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0"/>
        <w:tblW w:w="4395"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395"/>
      </w:tblGrid>
      <w:tr>
        <w:trPr/>
        <w:tc>
          <w:tcPr>
            <w:tcW w:w="4395" w:type="dxa"/>
            <w:tcBorders>
              <w:top w:val="nil"/>
              <w:left w:val="nil"/>
              <w:bottom w:val="nil"/>
              <w:right w:val="nil"/>
            </w:tcBorders>
          </w:tcPr>
          <w:p>
            <w:pPr>
              <w:pStyle w:val="Normal"/>
              <w:widowControl/>
              <w:spacing w:lineRule="auto" w:line="240" w:before="0" w:after="0"/>
              <w:ind w:left="30"/>
              <w:jc w:val="both"/>
              <w:rPr>
                <w:rFonts w:ascii="Times New Roman" w:hAnsi="Times New Roman"/>
                <w:b/>
                <w:sz w:val="28"/>
              </w:rPr>
            </w:pPr>
            <w:r>
              <w:rPr>
                <w:rFonts w:eastAsia="Times New Roman" w:cs="Times New Roman" w:ascii="Times New Roman" w:hAnsi="Times New Roman"/>
                <w:b/>
                <w:color w:val="000000"/>
                <w:kern w:val="0"/>
                <w:sz w:val="28"/>
                <w:szCs w:val="20"/>
                <w:lang w:val="ru-RU" w:eastAsia="ru-RU" w:bidi="ar-SA"/>
              </w:rPr>
              <w:t>Об утверждении регламента межведомственного взаимодействия, обеспечивающего функционирование региональной системы комплексной реабилитации и абилитации инвалидов в Камчатском крае</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соответствии с пунктом 12 статьи 5 Федерального закона от 24.11.1995 № 181-ФЗ «О социальной защите инвалидов в Российской Федерации», пунктами 1 и 6</w:t>
      </w:r>
      <w:r>
        <w:rPr>
          <w:rFonts w:ascii="Times New Roman" w:hAnsi="Times New Roman"/>
          <w:sz w:val="28"/>
          <w:vertAlign w:val="superscript"/>
        </w:rPr>
        <w:t>1</w:t>
      </w:r>
      <w:r>
        <w:rPr>
          <w:rFonts w:ascii="Times New Roman" w:hAnsi="Times New Roman"/>
          <w:sz w:val="28"/>
        </w:rPr>
        <w:t xml:space="preserve"> части 2 статьи 4 Закона Камчатского края от 30.05.2014 № 437 «О социальной защите инвалидов в Камчатском крае», частью 6 Методики оценки региональной системы реабилитации и абилитации инвалидов, в том числе детей-инвалидов, утвержденной </w:t>
      </w:r>
      <w:r>
        <w:rPr>
          <w:rFonts w:ascii="Times New Roman" w:hAnsi="Times New Roman"/>
          <w:sz w:val="28"/>
        </w:rPr>
        <w:t>п</w:t>
      </w:r>
      <w:r>
        <w:rPr>
          <w:rFonts w:ascii="Times New Roman" w:hAnsi="Times New Roman"/>
          <w:sz w:val="28"/>
        </w:rPr>
        <w:t xml:space="preserve">риказом Министерства труда и социальной защиты Российской Федерации от 30.06.2017 </w:t>
      </w:r>
      <w:r>
        <w:rPr>
          <w:rFonts w:ascii="Times New Roman" w:hAnsi="Times New Roman"/>
          <w:sz w:val="28"/>
        </w:rPr>
        <w:t>№</w:t>
      </w:r>
      <w:r>
        <w:rPr>
          <w:rFonts w:ascii="Times New Roman" w:hAnsi="Times New Roman"/>
          <w:sz w:val="28"/>
        </w:rPr>
        <w:t xml:space="preserve"> 545,</w:t>
      </w:r>
    </w:p>
    <w:p>
      <w:pPr>
        <w:pStyle w:val="Normal"/>
        <w:spacing w:lineRule="auto" w:line="240" w:before="0" w:after="0"/>
        <w:ind w:firstLine="709"/>
        <w:jc w:val="both"/>
        <w:rPr>
          <w:rFonts w:ascii="Times New Roman" w:hAnsi="Times New Roman"/>
          <w:sz w:val="28"/>
        </w:rPr>
      </w:pPr>
      <w:r>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 Определить Министерство социального благополучия и семейной политики Камчатского края исполнительным органом Камчатского края, уполномоченным на организацию и координацию межведомственного взаимодействия в целях обеспечения функционирования системы комплексной реабилитации и абилитации инвалидов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 Определить организациями, уполномоченными на осуществление социальной занятости инвалидов, краевые государственные учреждения социальной защиты, включенные в реестр поставщиков социальных услуг Камчатского края, предоставляющие социальные услуги инвалидам в полустационарной и стационарной формах социального обслуживания.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Министерству спорта Камчатского края, Министерству образования Камчатского края, Министерству культуры Камчатского края определить краевые государственные учреждения в сфере физической культуры и спорта, образования, культуры, осуществляющие деятельность по социальной занятости инвалидов.</w:t>
      </w:r>
    </w:p>
    <w:p>
      <w:pPr>
        <w:pStyle w:val="Normal"/>
        <w:spacing w:lineRule="auto" w:line="240" w:before="0" w:after="0"/>
        <w:ind w:firstLine="709"/>
        <w:jc w:val="both"/>
        <w:rPr>
          <w:rFonts w:ascii="Times New Roman" w:hAnsi="Times New Roman"/>
          <w:sz w:val="28"/>
        </w:rPr>
      </w:pPr>
      <w:r>
        <w:rPr>
          <w:rFonts w:ascii="Times New Roman" w:hAnsi="Times New Roman"/>
          <w:sz w:val="28"/>
        </w:rPr>
        <w:t>4. Рекомендовать органам местного самоуправления муниципальных образований в Камчатском крае уполномочить на осуществление социальной занятости инвалидов муниципальные учреждения в сфере физической культуры и спорта, образования, культуры, предоставляющие услуги инвалидам.</w:t>
      </w:r>
    </w:p>
    <w:p>
      <w:pPr>
        <w:pStyle w:val="Normal"/>
        <w:spacing w:lineRule="auto" w:line="240" w:before="0" w:after="0"/>
        <w:ind w:firstLine="709"/>
        <w:jc w:val="both"/>
        <w:rPr>
          <w:rFonts w:ascii="Times New Roman" w:hAnsi="Times New Roman"/>
          <w:sz w:val="28"/>
        </w:rPr>
      </w:pPr>
      <w:r>
        <w:rPr>
          <w:rFonts w:ascii="Times New Roman" w:hAnsi="Times New Roman"/>
          <w:sz w:val="28"/>
        </w:rPr>
        <w:t>5. Утвердить регламент межведомственного взаимодействия, обеспечивающий функционирование региональной системы комплексной реабилитации и абилитации инвалидов в Камчатском крае,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6. Признать утратившим</w:t>
      </w:r>
      <w:r>
        <w:rPr>
          <w:rFonts w:ascii="Times New Roman" w:hAnsi="Times New Roman"/>
          <w:sz w:val="28"/>
        </w:rPr>
        <w:t>и</w:t>
      </w:r>
      <w:r>
        <w:rPr>
          <w:rFonts w:ascii="Times New Roman" w:hAnsi="Times New Roman"/>
          <w:sz w:val="28"/>
        </w:rPr>
        <w:t xml:space="preserve"> силу:</w:t>
      </w:r>
    </w:p>
    <w:p>
      <w:pPr>
        <w:pStyle w:val="Normal"/>
        <w:spacing w:lineRule="auto" w:line="240" w:before="0" w:after="0"/>
        <w:ind w:firstLine="709"/>
        <w:jc w:val="both"/>
        <w:rPr>
          <w:rFonts w:ascii="Times New Roman" w:hAnsi="Times New Roman"/>
          <w:sz w:val="28"/>
        </w:rPr>
      </w:pPr>
      <w:r>
        <w:rPr>
          <w:rFonts w:ascii="Times New Roman" w:hAnsi="Times New Roman"/>
          <w:sz w:val="28"/>
        </w:rPr>
        <w:t>1) </w:t>
      </w:r>
      <w:r>
        <w:rPr>
          <w:rFonts w:ascii="Times New Roman" w:hAnsi="Times New Roman"/>
          <w:sz w:val="28"/>
        </w:rPr>
        <w:t>постановление Правительства Камчатского края от 31.03.2021 № 112-П «Об организации проведения оценки региональной системы реабилитации и абилитации инвалидов в Камчатском крае, в том числе детей-инвалидов»;</w:t>
      </w:r>
    </w:p>
    <w:p>
      <w:pPr>
        <w:pStyle w:val="Normal"/>
        <w:spacing w:lineRule="auto" w:line="240" w:before="0" w:after="0"/>
        <w:ind w:firstLine="709"/>
        <w:jc w:val="both"/>
        <w:rPr>
          <w:rFonts w:ascii="Times New Roman" w:hAnsi="Times New Roman"/>
          <w:sz w:val="28"/>
        </w:rPr>
      </w:pPr>
      <w:r>
        <w:rPr>
          <w:rFonts w:ascii="Times New Roman" w:hAnsi="Times New Roman"/>
          <w:sz w:val="28"/>
        </w:rPr>
        <w:t>2) постановление Правительства Камчатского края от 29.12.2022 № 751-П «О внесении изменений в Постановление Правительства Камчатского края от 31.03.2021 № 112-П «Об организации проведения оценки региональной системы реабилитации и абилитации инвалидов в Камчатском крае, в том числе детей-инвалидов».</w:t>
      </w:r>
    </w:p>
    <w:p>
      <w:pPr>
        <w:pStyle w:val="Normal"/>
        <w:spacing w:lineRule="auto" w:line="240" w:before="0" w:after="0"/>
        <w:ind w:firstLine="709"/>
        <w:jc w:val="both"/>
        <w:rPr>
          <w:rFonts w:ascii="Times New Roman" w:hAnsi="Times New Roman"/>
          <w:sz w:val="28"/>
        </w:rPr>
      </w:pPr>
      <w:r>
        <w:rPr>
          <w:rFonts w:ascii="Times New Roman" w:hAnsi="Times New Roman"/>
          <w:sz w:val="28"/>
        </w:rPr>
        <w:t>7. Настоящее постановление вступает в силу с 01.03.2025.</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532"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44"/>
        <w:gridCol w:w="2410"/>
      </w:tblGrid>
      <w:tr>
        <w:trPr>
          <w:trHeight w:val="2220" w:hRule="atLeast"/>
        </w:trPr>
        <w:tc>
          <w:tcPr>
            <w:tcW w:w="3578" w:type="dxa"/>
            <w:tcBorders/>
            <w:shd w:color="auto" w:fill="auto" w:val="clear"/>
          </w:tcPr>
          <w:p>
            <w:pPr>
              <w:pStyle w:val="Normal"/>
              <w:spacing w:lineRule="auto" w:line="240" w:before="0" w:after="0"/>
              <w:ind w:left="30" w:right="27"/>
              <w:rPr>
                <w:rFonts w:ascii="Times New Roman" w:hAnsi="Times New Roman"/>
                <w:sz w:val="24"/>
              </w:rPr>
            </w:pPr>
            <w:r>
              <w:rPr>
                <w:rFonts w:ascii="Times New Roman" w:hAnsi="Times New Roman"/>
                <w:sz w:val="28"/>
              </w:rPr>
              <w:t>Председатель Правительства Камчатского края</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3544" w:type="dxa"/>
            <w:tcBorders/>
            <w:shd w:color="auto" w:fill="auto" w:val="clear"/>
          </w:tcPr>
          <w:p>
            <w:pPr>
              <w:pStyle w:val="Normal"/>
              <w:spacing w:lineRule="auto" w:line="240" w:before="0" w:after="0"/>
              <w:ind w:hanging="3" w:left="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spacing w:lineRule="auto" w:line="240" w:before="0" w:after="0"/>
              <w:ind w:hanging="142" w:left="142"/>
              <w:rPr>
                <w:rFonts w:ascii="Times New Roman" w:hAnsi="Times New Roman"/>
                <w:sz w:val="24"/>
              </w:rPr>
            </w:pPr>
            <w:r>
              <w:rPr>
                <w:rFonts w:ascii="Times New Roman" w:hAnsi="Times New Roman"/>
                <w:sz w:val="24"/>
              </w:rPr>
            </w:r>
          </w:p>
        </w:tc>
        <w:tc>
          <w:tcPr>
            <w:tcW w:w="2410" w:type="dxa"/>
            <w:tcBorders/>
            <w:shd w:color="auto" w:fill="auto" w:val="clear"/>
          </w:tcPr>
          <w:p>
            <w:pPr>
              <w:pStyle w:val="Normal"/>
              <w:spacing w:lineRule="auto" w:line="240" w:before="0" w:after="0"/>
              <w:ind w:right="135"/>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rPr/>
      </w:pPr>
      <w:r>
        <w:rPr/>
      </w:r>
      <w:r>
        <w:br w:type="page"/>
      </w:r>
    </w:p>
    <w:tbl>
      <w:tblPr>
        <w:tblStyle w:val="af0"/>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9"/>
        <w:gridCol w:w="480"/>
        <w:gridCol w:w="480"/>
        <w:gridCol w:w="3661"/>
        <w:gridCol w:w="480"/>
        <w:gridCol w:w="1870"/>
        <w:gridCol w:w="486"/>
        <w:gridCol w:w="1699"/>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3661"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535"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3661"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535"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3661"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7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6"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EGNUMSTAMP]</w:t>
            </w:r>
          </w:p>
        </w:tc>
      </w:tr>
    </w:tbl>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Регламент</w:t>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межведомственного взаимодействия, обеспечивающий функционирование региональной системы комплексной реабилитации и абилитации инвалидов в Камчатском крае</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1. Общие положения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Регламент межведомственного взаимодействия, обеспечивающий функционирование региональной системы комплексной реабилитации и абилитации инвалидов в Камчатском крае (далее – Регламент) определяет комплекс взаимоувязанных действий исполнительных органов Камчатского края, органов местного самоуправления муниципальных образований в Камчатском крае и организаций различной ведомственной подчиненности при предоставлении инвалидам, детям-инвалидам (далее – инвалиды) услуг по основным направлениям комплексной реабилитации и абилитации инвалидов (далее – комплексная реабилитация).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Целью межведомственного взаимодействия является формирование комплексного, непрерывного обеспечения процесса предоставления услуг (проведения мероприятий) по комплексной реабилитации, направленной на устранение или возможно более полную компенсацию стойких нарушений функций организма и ограничений жизнедеятельности в целях социальной адаптации инвалида, в том числе достижение им материальной независимости и интеграции в общество, а также повышение качества жизни.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Предметом межведомственного взаимодействия является: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участие в разработке и реализации нормативных правовых актов в сфере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участие в разработке и реализации индивидуальных программ реабилитации и абилитации инвалидов (далее – индивидуальная программа);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осуществление информационного обмена в процессе предоставления услуг (проведения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осуществление контроля и оценки результатов межведомственного взаимодействия.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2. Перечень участников межведомственного взаимодействия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Участниками межведомственного взаимодействия при предоставлении услуг (проведении мероприятий) по комплексной реабилитации являются: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Министерство социального благополучия и семейной политики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Министерство здравоохранения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Министерство спорта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Министерство образования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Министерство труда и развития кадрового потенциала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Министерство культуры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краевое государственное автономное учреждение социальной защиты «Многопрофильный центр реабилитации» (далее – координационный центр);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 организации (далее – реабилитационная организация):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а) независимо от их организационно-правовых форм, формы собственности и ведомственной принадлежности, осуществляющие деятельность по одному или нескольким отдельным основным направлениям комплексной реабилитации в соответствии со стандартами их предоставления;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б) уполномоченные на осуществление деятельности по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уполномоченные на оказание услуги по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9) органы местного самоуправления муниципальных образований в Камчатском крае в пределах возложенных полномочий;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10) федеральное казенное учреждение «Главное бюро медико-социальной экспертизы по Камчатскому краю» Министерства труда и социальной защиты Российской Федерации в пределах возложенных полномочий.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Координация межведомственного взаимодействия осуществляется: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высшим координационным органом – Советом при Губернаторе Камчатского края по делам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координатором межведомственного взаимодействия – Министерством социального благополучия и семейной политики Камчатского края, в том числе через координационный центр.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Участники межведомственного взаимодействия в целях исполнения возложенных на них полномочий вправе в соответствии с законодательством Российской Федерации и Камчатского края, в том числе на основании соглашений, осуществлять взаимодействие с иными органами и организациями, не указанными в части 4 настоящего Регламента.</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3. Виды деятельности, осуществляемой участниками межведомственного взаимодействия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Министерство социального благополучия и семейной политики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осуществляет общую координацию участников межведомственного взаимодействия при формировании региональной системы комплексной реабилитации, организации социальной занятости инвалидов, сопровождаемого проживания инвалидов, сопровождения инвалидов при предоставлении услуг (проведении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планирует совместную деятельность участников межведомственного взаимодействия, а также обеспечивает проведение совещаний, семинаров, рабочих групп по вопросам функционирования региональной системы комплексной реабилитации в Камчатском крае;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обеспечивает формирование и ведение реестра реабилитационных организаций Камчатского края и предоставляемых ими услуг (далее – реестр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обобщает информацию о количестве инвалидов, в отношении которых осуществлялись мероприятия по комплексной реабилитации в соответствии с индивидуальными программами;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оценку региональной системы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обеспечивает контроль, коррекцию и регуляцию проблем, возникающих при предоставлении услуг (проведении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проводит информационно-пропагандистскую работу в целях повышения уровня информированности населения о проблемах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социальной реабилитации и абилитации инвалидов в соответствии с индивидуальными программами,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9) обеспечивает разработку индивидуальных планов мероприятий и предоставление услуг (проведение мероприятий) по социальной реабилитации и абилитации инвалидов,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10) организует деятельность координационного центра, подведомственных реабилитационных организаций по реализации социальной реабилитации и абилитации инвалидов, социальной занятости инвалидов, сопровождаемого проживания инвалидов, включая материально-техническое обеспечение и создание доступной среды для инвалидов в организациях социального обслуживания;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11) обеспечивает сопровождение инвалидов при получении ими услуг (участии в мероприятиях) по социальной реабилитации и абилитации инвалидов,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12) осуществляет мониторинг предоставления услуг (проведения мероприятий) по социальной реабилитации и абилитации инвалидов,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13)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 Министерство здравоохранения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порядке предоставления услуг (проведения мероприятий) по медицинской реабилитации и абилитации инвалидов в соответствии с индивидуальными программами;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обеспечивает формирование индивидуальных планов медицинской реабилитации, в том числе на дому, а также с применением телемедицинских технологий, предоставление услуг (проведение мероприятий) по медицинской реабилитации и абилитации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организует деятельность подведомственных реабилитационных организаций по реализации медицинской реабилитации и абилитации инвалидов, включая материально-техническое обеспечение и создание доступной среды для инвалидов в организациях здравоохранения;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обеспечивает сопровождение инвалидов при получении ими услуг (участии в мероприятиях) по медицинской реабилитации и абилитации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мониторинг предоставления услуг (проведения мероприятий) по медицинской реабилитации и абилитации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направляет в координационный центр информацию для формирования реестра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9. Министерство спорта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физической реабилитации и абилитации инвалидов с использованием средств физической культуры и спорта в соответствии с индивидуальными программами,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обеспечивает разработку индивидуальных планов мероприятий и предоставление услуг (проведение мероприятий) по физической реабилитации и абилитации инвалидов с использованием средств физической культуры и спорта,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организует деятельность подведомственных реабилитационных организаций по реализации физической реабилитации и абилитации инвалидов с использованием средств физической культуры и спорта, социальной занятости инвалидов, включая материально-техническое обеспечение и создание доступной среды для инвалидов в физкультурно-спортивных организациях;</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обеспечивает сопровождение инвалидов при получении ими услуг (участии в мероприятиях) по физической реабилитации и абилитации инвалидов с использованием средств физической культуры и спорта,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мониторинг предоставления услуг (проведения мероприятий) по физической реабилитации и абилитации инвалидов с использованием средств физической культуры и спорта,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направляет в координационный центр информацию для формирования реестра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10. Министерство образования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профессиональной реабилитации и абилитации инвалидов в сфере общего и профессионального образования в соответствии с индивидуальными программами, предоставления образовательных услуг при сопровождаемом проживании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обеспечивает разработку индивидуальных планов мероприятий и предоставление услуг (проведение мероприятий) по профессиональной реабилитации и абилитации инвалидов в сфере общего и профессионального образования, образовательных услуг при сопровождаемом проживании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организует деятельность подведомственных реабилитационных организаций по реализации профессиональной реабилитации и абилитации инвалидов в сфере общего и профессионального образования, предоставлению образовательных услуг при сопровождаемом проживании инвалидов, социальной занятости инвалидов, включая материально-техническое обеспечение и создание доступной среды для инвалидов в образовательных организациях;</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обеспечивает сопровождение инвалидов при получении ими услуг (участии в мероприятиях) по профессиональной реабилитации и абилитации инвалидов в сфере общего и профессионального образования, получении образовательных услуг при сопровождаемом проживании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мониторинг предоставления услуг (проведения мероприятий) по профессиональной реабилитации и абилитации инвалидов в сфере общего и профессионального образования, образовательных услуг при сопровождаемом проживании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направляет в координационный центр информацию для формирования реестра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11. Министерство труда и развития кадрового потенциала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профессиональной реабилитации и абилитации инвалидов в сфере занятости в соответствии с индивидуальными программами, сопровождаемой трудовой деятельности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обеспечивает разработку индивидуальных планов мероприятий и предоставление услуг (проведение мероприятий) по профессиональной реабилитации и абилитации инвалидов в сфере занятости;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организует деятельность подведомственных реабилитационных организаций по реализации профессиональной реабилитации и абилитации инвалидов в сфере занятости, включая материально-техническое обеспечение и создание доступной среды для инвалидов в центрах занятости населения;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обеспечивает сопровождение инвалидов при получении ими услуг (участии в мероприятиях) по профессиональной реабилитации и абилитации инвалидов в сфере занятости;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мониторинг предоставления услуг (проведения мероприятий) по профессиональной реабилитации и абилитации инвалидов в сфере занятости, сопровождаемой трудовой деятельности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направляет в координационный центр информацию для формирования реестра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12. Министерство культуры Камчатского края: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социокультурной реабилитации и абилитации инвалидов в соответствии с индивидуальными программами,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обеспечивает разработку индивидуальных планов мероприятий и предоставление услуг (проведение мероприятий) по социокультурной реабилитации и абилитации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организует деятельность подведомственных реабилитационных организаций по реализации социокультурной реабилитации и абилитации инвалидов, социальной занятости инвалидов, включая материально-техническое обеспечение и создание доступной среды для инвалидов в организациях культуры;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обеспечивает сопровождение инвалидов при получении ими услуг (участии в мероприятиях) по социокультурной реабилитации и абилитации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мониторинг предоставления услуг (проведения мероприятий) по социокультурной реабилитации и абилитации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направляет в координационный центр информацию для формирования реестра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13. Координационный центр: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комплексной реабилитации в соответствии с индивидуальными программами,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принимает участие в медико-социальной экспертизе в целях разработки индивидуальных программ;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формирует и ведет реестр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разрабатывает индивидуальные планы мероприятий и предоставляет услуги (проводит мероприятия) по социальной реабилитации и абилитации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осуществляет сопровождение инвалидов при получении ими услуг (участии в мероприятиях) по социальной реабилитации и абилитации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разрабатывает индивидуальные реабилитационные маршруты инвалидов при предоставлении услуг (проведении мероприятий) по комплексной реабилитации (далее – индивидуальный реабилитационный маршрут инвалида) и, во взаимодействии с реабилитационными организациями, осуществляет сопровождение инвалидов при реализации индивидуального реабилитационного маршрута инвалида;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ведет учет инвалидов, которым предоставлены услуги (проведены мероприятия) по комплексной реабилитации в соответствии с разработанными индивидуальными планами мероприятий и индивидуальными реабилитационными маршрутами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 проводит оценку предоставления услуг (проведения мероприятий) по социальной реабилитации и абилитации инвалидов,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9) проводит просветительскую и профилактическую работу, обеспечивает проведение обучающих мероприятий, направленных на повышение теоретического и практического опыта специалистов, предоставляющих услуги инвалидам;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10)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14. Реабилитационная организация: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организует информирование инвалидов и их законных представителей о деятельности участников межведомственного взаимодействия, о порядках предоставления услуг (проведения мероприятий) по реализуемым основным направлениям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разрабатывает индивидуальные планы мероприятий и предоставляет услуги (проводит мероприятия) по реализуемым основным направлениям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осуществляет сопровождение инвалидов при получении ими услуг (участии в мероприятиях) по реализуемым основным направлениям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ведет учет инвалидов, которым предоставлены услуги (проведены мероприятия) по комплексной реабилитации в соответствии с разработанными индивидуальными планами мероприятий и индивидуальными реабилитационными маршрутами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проводит оценку предоставления услуг (проведения мероприятий) по реализуемым основным направлениям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проводит просветительскую и профилактическую работу, обеспечивает проведение обучающих мероприятий, направленных на повышение теоретического и практического опыта специалистов, предоставляющих услуги инвалидам;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направляет в координационный центр информацию о порядке и условиях предоставления услуг (проведения мероприятий) по реализуемым основным направлениям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 предоставляет участникам межведомственного взаимодействия информацию, необходимую для реализации услуг (мероприятий) по комплексной реабилитации.</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4. Порядок и формы межведомственного взаимодействия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15. Межведомственное взаимодействие осуществляется путем обмена документами и (или) информацией, находящимися в распоряжении участников межведомственного взаимодействия, необходимыми для: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выявления инвалидов, нуждающихся в услугах (мероприятиях) по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формирования и ведения реестра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разработки индивидуального реабилитационного маршрута инвалида;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предоставления услуг (проведения мероприятий) по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16. Выявление инвалидов, нуждающихся в услугах (мероприятиях) по комплексной реабилитации, социальной занятости инвалидов, сопровождаемому проживанию инвалидов, осуществляется участниками межведомственного посредством: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получения сведений об установлении инвалидности в форме выписок из индивидуальной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личного обращения инвалида или его законного представителя за получением услуг (мероприятий) по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инициативной работы по выявлению инвалидов, проживающих в Камчатском крае, нуждающихся в услугах (мероприятиях)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17. В целях предоставления услуг (проведения мероприятий) по комплексной реабилитации, социальной занятости инвалидов, сопровождаемому проживанию инвалидов, участниками межведомственного взаимодействия обеспечивается обмен следующей информацией: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фамилия, имя, отчество, дата рождения, адрес регистрации, адрес фактического проживания, контактный телефон инвалида;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фамилия, имя, отчество, дата рождения, адрес регистрации, адрес фактического проживания, контактный телефон законного представителя инвалида;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страховой номер индивидуального лицевого счета, полис обязательного медицинского страхования инвалида;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индивидуальная программа, сведения о выполнении мероприятий индивидуальной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сведения об обеспечении инвалида техническими средствами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18. Координационный центр на основе полученной от участников межведомственного взаимодействия информации: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формирует реестр реабилитационных организаций и направляет его участникам межведомственного взаимодействия в электронной форме;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при обращении инвалида или его законного представителя разрабатывает индивидуальный реабилитационный маршрут инвалида и выдает его на бумажном носителе или в электронной форме.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19. Сопровождение реализации индивидуального реабилитационного маршрута инвалида осуществляется координационным центром посредством записи инвалида в реабилитационные организации, осуществляемой способами, предусмотренными данными организациями.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20. Участники межведомственного взаимодействия при обращении инвалидов и их законных представителей по вопросу предоставления услуг (проведения мероприятий) по основным направлениям комплексной реабилитации, социальной занятости инвалидов, сопровождаемому проживанию инвалидов, не отнесенным к их компетенции, информируют о возможности получения данных услуг в реабилитационных организациях в соответствии с реестром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21. В случае невозможности предоставления инвалиду услуг (проведения мероприятий) по комплексной реабилитации, социальной занятости инвалидов, сопровождаемому проживанию инвалидов в связи с отсутствием профильных специалистов, свободных мест или недостаточностью материально-технической базы, необходимой для предоставления услуг (проведения мероприятий), реабилитационная организация информирует инвалида или его законного представителя о возможности обращения в иные организации, включенные в реестр реабилитационных организаций, предварительно согласовав с такими организациями возможность предоставления необходимых инвалиду услуг.</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22. Взаимодействие и направление межведомственного запроса о представлении документов и (или) информации осуществляется по инициативе любого участника межведомственного взаимодействия.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23. Ответ на межведомственный запрос направляется участниками межведомственного взаимодействия по форме, предусмотренной межведомственным запросом, в течение 5 рабочих дней со дня поступления межведомственного запроса.</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5. Требования к содержанию, формам и условиям обмена информацией, в том числе в электронной форме</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24. Обмен документами и (или) информацией между участниками межведомственного взаимодействия осуществляется: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в электронной форме с использованием: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а) государственной информационной системы «Единая централизованная платформа в социальной сфере»;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б) информационной системы «Единая система электронного документооборота»;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ведомственных информационных систем участников межведомственного взаимодействия;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на бумажном носителе, в случае если участник межведомственного взаимодействия не имеет доступа к информационным системам для обмена документами и (или) информацией в электронной форме.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25. Межведомственный запрос должен содержать:</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наименование участника межведомственного взаимодействия, направляющего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наименование участника межведомственного взаимодействия, в адрес которого направляется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данные инвалида, законного представителя инвалида в соответствии с частью 17 настоящего Регламента;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наименование предоставляемых услуг (проводимых мероприятий) по основным направлениям комплексной реабилитации, социальной занятости инвалидов, сопровождаемому проживанию инвалидов, оказываемых участниками межведомственного взаимодействия в рамках своих полномочий;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положения и реквизиты нормативного правового акта, которым установлено представление документа и (или) информации, необходимых для предоставления услуг (проведения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6) контактная информация для направления ответа на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дата направления межведомственного запроса и срок ожидаемого ответа на межведомственный запрос, а также форма предоставления запрошенной информации (при необходимости);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адрес электронной почты данного лица.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26. Ответ на межведомственный запрос должен содержать:</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наименование участника межведомственного взаимодействия, направляющего ответ на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наименование участника межведомственного взаимодействия, в адрес которого направляется ответ на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информацию о порядке и условиях предоставления услуг (проведения мероприятий) по основным направлениям комплексной реабилитации, социальной занятости инвалидов, сопровождаемому проживанию инвалидов, оказываемых участниками межведомственного взаимодействия в рамках своих полномочий;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дату направления ответа на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фамилию, имя, отчество и должность лица, подготовившего и направившего ответ на межведомственный запрос, а также номер служебного телефона и адрес электронной почты данного лица.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27. Обработка персональных данных граждан, в том числе необходимых для передачи в рамках межведомственного взаимодействия, обеспечение защиты и хранения информации при обмене данными между участниками межведомственного взаимодействия в электронном виде осуществляются в соответствии с требованиями Федерального закона от 27.07.2006 № 152-ФЗ «О персональных данных».</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6. Механизм реализации мероприятий по формированию региональной системы комплексной реабилитации</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28. Нормативную правовую основу формирования региональной системы комплексной реабилитации и межведомственного взаимодействия составляют Федеральный закон от 24.11.1995 № 181-ФЗ «О социальной защите инвалидов в Российской Федерации», Федеральный закон от 28.12.013 № 442-ФЗ «Об основах социального обслуживания граждан в Российской Федерации», Федеральный закон от 21.11.2011 № 323-ФЗ «Об основах охраны здоровья граждан в Российской Федерации», Федеральный закон от 04.12.2007 № 329-ФЗ «О физической культуре и спорте в Российской Федерации», Федеральный закон от 29.12.2012 № 273-ФЗ «Об образовании в Российской Федерации», Закон Российской Федерации от 19.04.1991 № 1032-1 «О занятости населения в Российской Федерации», Закон Российской Федерации от 09.10.1992 № 3612-I «Основы законодательства Российской Федерации о культуре», Закон Камчатского края от 30.05.2014 № 437 «О социальной защите инвалидов в Камчатском крае», постановление Правительства Российской Федерации от 29.06.2024 № 885 «Об утверждении примерных требований к организации деятельности реабилитационных организаций», постановление Правительства Российской Федерации от 03.07.2024 № 910 «Об утверждении Правил организации сопровождаемого проживания инвалидов», приказ Министерства труда и социальной защиты Российской Федерации от 28.07.2023 № 605н «Об утверждении примерного порядка организации социальной занятости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29. Планирование целевых показателей и перечня мероприятий, направленных на формирование региональной системы комплексной реабилитации, осуществляется путем утверждения региональной программы по формированию системы комплексной реабилитации в структуре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28.12.2023 № 697-П.</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30. Реализация общих принципов комплексной реабилитации, таких как раннее начало, доступность, последовательность, преемственность, непрерывность предоставления услуг (проведения мероприятий) по комплексной реабилитации обеспечивается путем организации индивидуального сопровождения инвалида координационным центром.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31. Формирование реабилитационного паспорта Камчатского края осуществляется 2 раза в год координатором межведомственного взаимодействия по сведениям, предоставляемым участниками межведомственного взаимодействия по состоянию на 1 января года, следующего за отчетным, и 1 июля текущего года.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32. В целях совершенствования и развития, а также формирования комплексного подхода к организации региональной системы комплексной реабилитации, координатором межведомственного взаимодействия ежегодно проводится оценка региональной системы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33. Участники межведомственного взаимодействия обеспечивают непрерывное профессиональное образование кадров, включающее подготовку и непрерывное повышение квалификации специалистов и руководителей реабилитационных организаций.</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7. Порядок учета реабилитационных организаций</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34. Участники межведомственного взаимодействия направляют информацию о порядке и условиях предоставления услуг (проведения мероприятий) по реализуемым основным направлениям комплексной реабилитации, социальной занятости инвалидов, сопровождаемому проживанию инвалидов (далее – уведомление) в координационный центр: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при первичном внесении информации об участнике межведомственного взаимодействия в реестр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с целью внесения изменений в сведения, содержащиеся в реестре реабилитационных организаций, при изменении реализуемых основных направлений комплексной реабилитации или условий предоставления услуг (проведения мероприятий) по комплексной реабилитации, социальной занятости инвалидов, сопровождаемому проживанию инвалидов.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35. Уведомление должно содержать:</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в отношении участника межведомственного взаимодействия – наименование участника межведомственного взаимодействия, адрес местонахождения, номер служебного телефона должностного лица, ответственного за взаимодействие с координационным центром, и адрес электронной почты данного лица;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в отношении оказываемых услуг – виды реализуемых основных направлений комплексной реабилитации (реализуемые виды деятельности по социальной занятости инвалидов, реализуемые формы предоставления услуги по сопровождаемому проживанию инвалидов), наименование предоставляемых услуг (проводимых мероприятий), условия предоставления услуг (категории получателей, стоимость, перечень необходимых документов, график и другая информация об особенностях предоставления услуги).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36. Реабилитационные организации, входящие в негосударственную систему комплексной реабилитации, направляют уведомление координатору межведомственного взаимодействия в порядке, установленном постановлением Правительства Российской Федерации от 29.06.2024 № 885 «Об утверждении примерных требований к организации деятельности реабилитационных организаций».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37. Форма уведомления утверждается приказом координатора межведомственного взаимодействия.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8. Порядок осуществления контроля и оценки результатов межведомственного взаимодействия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38. Контроль за осуществлением межведомственного взаимодействия в соответствии с настоящим Регламентом участниками межведомственного взаимодействия (далее – контроль) осуществляется в рамках действующего законодательства.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39. Предметом контроля является проверка соблюдения участниками межведомственного взаимодействия требований настоящего Регламента при осуществлении деятельности, связанной с предоставлением услуг (проведением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40. Текущий контроль межведомственного взаимодействия осуществляется участниками межведомственного взаимодействия в ходе осуществления деятельности, связанной с предоставлением услуг (проведением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41. Участники межведомственного взаимодействия несут ответственность за несвоевременное предоставление документов и (или) информации в рамках межведомственного взаимодействия в соответствии с действующим законодательством.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42. Оценка результатов межведомственного взаимодействия осуществляется по следующим критериям: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соблюдение срока направления ответа на межведомственный запрос;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доля инвалидов и их законных представителей, удовлетворенных качеством полученных услуг (мероприятий) по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9. Порядок организации проведения оценки региональной системы комплексной реабилитации и контроля за ее проведением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43. Проведение оценки региональной системы комплексной реабилитации осуществляется в целях определения уровня ее сформированности, принятия управленческих решений для дальнейшего совершенствования и развития, формирования комплексного подхода к ее организации.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44. Оценка региональной системы комплексной реабилитации осуществляется координатором межведомственного взаимодействия в соответствии с Методикой оценки региональной системы реабилитации и абилитации инвалидов, в том числе детей-инвалидов, утвержденной приказом Министерства труда и социальной защиты Российской Федерации от 30.06.2017 № 545.</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45. Участники межведомственного взаимодействия на позднее 1 марта направляют координатору межведомственного взаимодействия информацию по состоянию на 1 января года, следующего за отчетным, о деятельности по реабилитации и абилитации инвалидов для расчета следующих показателей оценки региональной системы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сформированность комплексного подхода к организации региональной системы комплексной реабилитации;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удовлетворенность инвалидов (их законных или уполномоченных представителей) реабилитационными или абилитационными мероприятиями (услугами);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укомплектованность организаций, предоставляющих реабилитационные и (или) абилитационные мероприятия, специалистами соответствующего профиля исходя из потребности инвалидов в реабилитационных и (или) абилитационных мероприятиях;</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сформированность информационной базы региональной системы комплексной реабилитации, учитывающей информацию о потребностях инвалидов в реабилитационных и (или) абилитационных мероприятиях.</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46. Сводный отчет о результатах оценки региональной системы комплексной реабилитации формируется координатором межведомственного взаимодействия с учетом информации, предоставленной участниками межведомственного взаимодействия, в срок до 1 апреля года, следующего за отчетным.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47. Контроль за своевременностью и полнотой проведения оценки региональной системы комплексной реабилитации осуществляет координатор межведомственного взаимодействия.</w:t>
      </w:r>
    </w:p>
    <w:sectPr>
      <w:headerReference w:type="even" r:id="rId3"/>
      <w:headerReference w:type="default" r:id="rId4"/>
      <w:headerReference w:type="first" r:id="rId5"/>
      <w:type w:val="nextPage"/>
      <w:pgSz w:w="11906" w:h="16838"/>
      <w:pgMar w:left="1418" w:right="851" w:gutter="0" w:header="709" w:top="1134" w:footer="0" w:bottom="1134"/>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XO Thames">
    <w:charset w:val="01"/>
    <w:family w:val="roman"/>
    <w:pitch w:val="default"/>
  </w:font>
  <w:font w:name="Times New Roman">
    <w:charset w:val="01"/>
    <w:family w:val="roman"/>
    <w:pitch w:val="default"/>
  </w:font>
  <w:font w:name="Segoe U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20053493"/>
    </w:sdtPr>
    <w:sdtContent>
      <w:p>
        <w:pPr>
          <w:pStyle w:val="Header"/>
          <w:jc w:val="center"/>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17</w:t>
        </w:r>
        <w:r>
          <w:rPr>
            <w:sz w:val="28"/>
            <w:szCs w:val="28"/>
            <w:rFonts w:ascii="Times New Roman" w:hAnsi="Times New Roman"/>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InternetLink">
    <w:name w:val="Internet Link"/>
    <w:basedOn w:val="DefaultParagraphFont"/>
    <w:link w:val="13"/>
    <w:qFormat/>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link w:val="HeaderandFooter1"/>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Times New Roman" w:hAnsi="Times New Roman"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Style16">
    <w:name w:val="Указатель"/>
    <w:basedOn w:val="Normal"/>
    <w:qFormat/>
    <w:pPr>
      <w:suppressLineNumbers/>
    </w:pPr>
    <w:rPr>
      <w:rFonts w:ascii="Times New Roman" w:hAnsi="Times New Roman" w:cs="Arial"/>
    </w:rPr>
  </w:style>
  <w:style w:type="paragraph" w:styleId="TOC2">
    <w:name w:val="toc 2"/>
    <w:next w:val="Normal"/>
    <w:link w:val="2"/>
    <w:uiPriority w:val="39"/>
    <w:pPr>
      <w:widowControl/>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HeaderandFooter1" w:customStyle="1">
    <w:name w:val="Header and Footer1"/>
    <w:link w:val="HeaderandFooter"/>
    <w:qFormat/>
    <w:pPr>
      <w:widowControl/>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link w:val="InternetLink"/>
    <w:qFormat/>
    <w:pPr/>
    <w:rPr>
      <w:color w:themeColor="hyperlink" w:val="0563C1"/>
      <w:u w:val="single"/>
    </w:rPr>
  </w:style>
  <w:style w:type="paragraph" w:styleId="Footnote1" w:customStyle="1">
    <w:name w:val="Footnote1"/>
    <w:link w:val="Footnote"/>
    <w:qFormat/>
    <w:pPr>
      <w:widowControl/>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Title">
    <w:name w:val="Title"/>
    <w:next w:val="Normal"/>
    <w:link w:val="Style13"/>
    <w:uiPriority w:val="10"/>
    <w:qFormat/>
    <w:pPr>
      <w:widowControl/>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numbering" w:styleId="Style1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4CE6-3E90-4F20-AABA-CCB2ADAD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LibreOffice/24.8.0.3$Windows_X86_64 LibreOffice_project/0bdf1299c94fe897b119f97f3c613e9dca6be583</Application>
  <AppVersion>15.0000</AppVersion>
  <Pages>17</Pages>
  <Words>4003</Words>
  <Characters>33554</Characters>
  <CharactersWithSpaces>37346</CharactersWithSpaces>
  <Paragraphs>213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2024-09-15T03:36:00Z</dcterms:created>
  <dc:creator>User</dc:creator>
  <dc:description/>
  <dc:language>ru-RU</dc:language>
  <cp:lastModifiedBy/>
  <dcterms:modified xsi:type="dcterms:W3CDTF">2024-09-16T10:30:42Z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