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bookmarkStart w:id="2" w:name="_GoBack"/>
      <w:bookmarkEnd w:id="2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2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приказ</w:t>
            </w:r>
            <w:r>
              <w:rPr>
                <w:rFonts w:ascii="Times New Roman" w:hAnsi="Times New Roman"/>
                <w:b w:val="1"/>
                <w:sz w:val="28"/>
              </w:rPr>
              <w:t>у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Министерства социального благополучия и семейной политики Камчатского края от 15.12.2022 № 999-п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      </w:r>
          </w:p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приложение к</w:t>
      </w:r>
      <w:r>
        <w:rPr>
          <w:rFonts w:ascii="Times New Roman" w:hAnsi="Times New Roman"/>
          <w:sz w:val="28"/>
        </w:rPr>
        <w:t xml:space="preserve"> приказ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Министерства социального благополучия и семейной политики Камчатского края от 15.12.2022 № 999-п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я, дополнив часть 2 пунктами 7-8 следующего содержания: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«7) </w:t>
      </w:r>
      <w:r>
        <w:rPr>
          <w:rFonts w:ascii="Times New Roman" w:hAnsi="Times New Roman"/>
          <w:sz w:val="28"/>
        </w:rPr>
        <w:t xml:space="preserve">дети граждан, принимавших участие в специальной военной операции на территориях Донецкой Народной Республики, Луганской Народной Республики и Украины, </w:t>
      </w:r>
      <w:r>
        <w:rPr>
          <w:rFonts w:ascii="Times New Roman" w:hAnsi="Times New Roman"/>
          <w:sz w:val="28"/>
        </w:rPr>
        <w:t>в том числе призваны на военную службу по мобилизации, или поступили на военную службу по контракту, либо заключили контракт о добровольном содействии в выполнении задач, возложенных на Вооруженные Силы Российской 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которые получили ранение или заболевание и проходят лечение и реабилитацию</w:t>
      </w:r>
      <w:r>
        <w:rPr>
          <w:rFonts w:ascii="Times New Roman" w:hAnsi="Times New Roman"/>
          <w:b w:val="0"/>
          <w:sz w:val="28"/>
        </w:rPr>
        <w:t>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дети граждан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которые пропали без вести</w:t>
      </w:r>
      <w:r>
        <w:rPr>
          <w:rFonts w:ascii="Times New Roman" w:hAnsi="Times New Roman"/>
          <w:b w:val="0"/>
          <w:sz w:val="28"/>
        </w:rPr>
        <w:t xml:space="preserve"> в х</w:t>
      </w:r>
      <w:r>
        <w:rPr>
          <w:rFonts w:ascii="Times New Roman" w:hAnsi="Times New Roman"/>
          <w:sz w:val="28"/>
        </w:rPr>
        <w:t xml:space="preserve">оде </w:t>
      </w:r>
      <w:r>
        <w:rPr>
          <w:rFonts w:ascii="Times New Roman" w:hAnsi="Times New Roman"/>
          <w:sz w:val="28"/>
        </w:rPr>
        <w:t>специальной военной операции на территории Донецкой Народной Республики, Луганской Народной Республики и Украины, в том числе призванные на военную службу по мобилизации, или поступившие на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</w:t>
      </w:r>
      <w:r>
        <w:t xml:space="preserve"> </w:t>
      </w:r>
      <w:r>
        <w:rPr>
          <w:rFonts w:ascii="Times New Roman" w:hAnsi="Times New Roman"/>
          <w:sz w:val="28"/>
        </w:rPr>
        <w:t>вступает в силу после дня его официального опубликования и распространяется на правоотношения, возникшие с 1 января 2024 года.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4000000">
      <w:pPr>
        <w:spacing w:after="0" w:line="240" w:lineRule="auto"/>
        <w:ind w:firstLine="2694" w:left="846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sectPr>
      <w:headerReference r:id="rId1" w:type="default"/>
      <w:pgSz w:h="16838" w:orient="portrait" w:w="11906"/>
      <w:pgMar w:bottom="993" w:footer="709" w:gutter="0" w:header="709" w:left="1134" w:right="70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Balloon Text"/>
    <w:basedOn w:val="Style_3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3_ch"/>
    <w:link w:val="Style_16"/>
    <w:rPr>
      <w:rFonts w:ascii="Segoe UI" w:hAnsi="Segoe UI"/>
      <w:sz w:val="1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3_ch"/>
    <w:link w:val="Style_25"/>
    <w:rPr>
      <w:rFonts w:ascii="Times New Roman" w:hAnsi="Times New Roman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2024-06-02T23:44:50Z</dcterms:modified>
</cp:coreProperties>
</file>