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И.О. МИНИСТРА СОЦИАЛЬНОГО БЛАГОПОЛУЧИЯ И СЕМЕЙНОЙ ПОЛИТИКИ КАМЧАТСКОГО КРАЯ</w:t>
      </w:r>
      <w:r>
        <w:rPr>
          <w:sz w:val="28"/>
        </w:rPr>
        <w:t xml:space="preserve"> 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DATEACTIVATED </w:t>
      </w:r>
      <w:r>
        <w:rPr>
          <w:sz w:val="28"/>
          <w:u w:val="single"/>
        </w:rPr>
        <w:t>г</w:t>
      </w:r>
      <w:r>
        <w:rPr>
          <w:sz w:val="28"/>
          <w:u w:val="single"/>
        </w:rPr>
        <w:t>.</w:t>
      </w:r>
      <w:r>
        <w:rPr>
          <w:sz w:val="28"/>
        </w:rPr>
        <w:t xml:space="preserve"> № </w:t>
      </w:r>
      <w:r>
        <w:rPr>
          <w:sz w:val="28"/>
          <w:u w:val="single"/>
        </w:rPr>
        <w:t>DOCNUMBER</w:t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Камчатского края от 26.09.2012 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 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Горелова Ю.О.</w:t>
            </w:r>
          </w:p>
        </w:tc>
      </w:tr>
    </w:tbl>
    <w:p w14:paraId="20000000">
      <w:pPr>
        <w:sectPr>
          <w:headerReference r:id="rId1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И.о. Министра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лицу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единовременной денежной выплаты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E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</w:rPr>
        <w:t xml:space="preserve"> </w:t>
      </w:r>
    </w:p>
    <w:p w14:paraId="3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4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42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:</w:t>
      </w:r>
    </w:p>
    <w:p w14:paraId="4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4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4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 на оплату товаров и (или) услуг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:</w:t>
      </w:r>
    </w:p>
    <w:p w14:paraId="4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4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4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расходы на оплату товаров и (или) услуг</w:t>
      </w:r>
      <w:r>
        <w:rPr>
          <w:sz w:val="28"/>
        </w:rPr>
        <w:t>;</w:t>
      </w:r>
    </w:p>
    <w:p w14:paraId="4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,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>)</w:t>
      </w:r>
      <w:r>
        <w:rPr>
          <w:sz w:val="28"/>
        </w:rPr>
        <w:t>: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5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или 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5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в собственности объектов недвижимости с назначением «жилое» (его части), занимаемой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Федерации, а также о таком помещении (его части), признанном в установленном порядке непригодным для проживания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подтверждающая,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</w:t>
      </w:r>
      <w:r>
        <w:rPr>
          <w:sz w:val="28"/>
        </w:rPr>
        <w:t xml:space="preserve"> при наличии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;</w:t>
      </w:r>
    </w:p>
    <w:p w14:paraId="5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5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;</w:t>
      </w:r>
    </w:p>
    <w:p w14:paraId="5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информации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;</w:t>
      </w:r>
    </w:p>
    <w:p w14:paraId="6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6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6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.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sz w:val="28"/>
        </w:rPr>
        <w:t>;</w:t>
      </w:r>
    </w:p>
    <w:p w14:paraId="7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>
        <w:rPr>
          <w:sz w:val="28"/>
        </w:rPr>
        <w:t>;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</w:rPr>
        <w:t>;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>
        <w:rPr>
          <w:sz w:val="28"/>
        </w:rPr>
        <w:t>;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sz w:val="28"/>
        </w:rPr>
        <w:t>;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центральный вход в здание, в котором расположен Орган власти, оборудован информационной табличкой (вывеской), содержащей информацию о наименовании Органа власти, месте его нахождения и графике работы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7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7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доступных мест общего пользования (туалетов)</w:t>
      </w:r>
      <w:r>
        <w:rPr>
          <w:sz w:val="28"/>
        </w:rPr>
        <w:t>;</w:t>
      </w:r>
    </w:p>
    <w:p w14:paraId="7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sz w:val="28"/>
        </w:rPr>
        <w:t>;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перечне документов и (или) информации, необходимых для предоставления Услуги, о местонахождении подразделения, предоставляющего Услугу, его почтовом адресе, графике работы, номерах телефонов для справок,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sz w:val="28"/>
        </w:rPr>
        <w:t>;</w:t>
      </w:r>
    </w:p>
    <w:p w14:paraId="7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>
        <w:rPr>
          <w:sz w:val="28"/>
        </w:rPr>
        <w:t>;</w:t>
      </w:r>
    </w:p>
    <w:p w14:paraId="8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sz w:val="28"/>
        </w:rPr>
        <w:t>;</w:t>
      </w:r>
    </w:p>
    <w:p w14:paraId="8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8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сурдопереводчика и тифлосурдопереводчика</w:t>
      </w:r>
      <w:r>
        <w:rPr>
          <w:sz w:val="28"/>
        </w:rPr>
        <w:t>;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sz w:val="28"/>
        </w:rPr>
        <w:t>;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sz w:val="28"/>
        </w:rPr>
        <w:t>;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>
        <w:rPr>
          <w:sz w:val="28"/>
        </w:rPr>
        <w:t>.</w:t>
      </w:r>
    </w:p>
    <w:p w14:paraId="8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способа обращения за предоставлением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 и актуальность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sz w:val="28"/>
        </w:rPr>
        <w:t>.</w:t>
      </w:r>
    </w:p>
    <w:p w14:paraId="9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sz w:val="28"/>
        </w:rPr>
        <w:t>;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и получения результата предоставления Услуги в электронной форме</w:t>
      </w:r>
      <w:r>
        <w:rPr>
          <w:sz w:val="28"/>
        </w:rPr>
        <w:t>;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9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</w:rPr>
        <w:t>;</w:t>
      </w:r>
    </w:p>
    <w:p w14:paraId="9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заявителей, кандидатов в помощники и доверенных лиц по результатам предоставления Услуги</w:t>
      </w:r>
      <w:r>
        <w:rPr>
          <w:sz w:val="28"/>
        </w:rPr>
        <w:t>;</w:t>
      </w:r>
    </w:p>
    <w:p w14:paraId="9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9C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14:paraId="9F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единовременной денежной выплаты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A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A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A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A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>;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>;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0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100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B2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5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6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7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;</w:t>
      </w:r>
    </w:p>
    <w:p w14:paraId="B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C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C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 на оплату товаров и (или)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C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C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расходы на оплату товаров и (или) услуг</w:t>
      </w:r>
      <w:r>
        <w:rPr>
          <w:sz w:val="28"/>
        </w:rPr>
        <w:t>;</w:t>
      </w:r>
    </w:p>
    <w:p w14:paraId="C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в собственности объектов недвижимости с назначением «жилое» (его части), занимаемой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Федерации, а также о таком помещении (его части), признанном в установленном порядке непригодным для проживания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подтверждающая,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;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информации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.</w:t>
      </w:r>
    </w:p>
    <w:p w14:paraId="D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E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E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9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E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Росреестр</w:t>
      </w:r>
      <w:r>
        <w:rPr>
          <w:sz w:val="28"/>
        </w:rPr>
        <w:t>.</w:t>
      </w:r>
    </w:p>
    <w:p w14:paraId="F0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1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Росреестр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F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4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500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F6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A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B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;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0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0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расходы на оплату товаров и (или)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0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0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расходы на оплату товаров и (или) услуг</w:t>
      </w:r>
      <w:r>
        <w:rPr>
          <w:sz w:val="28"/>
        </w:rPr>
        <w:t>;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подтвержд­ающие расходы на пр­иобретение товаров и услуг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возмездного оказания услуг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на получение мер государственной (социальной) поддержки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счет на оплату стоимости ремонтных работ в жилом помещении и стоимости расходных материалов для проведения ремонтных работ в жилом помещении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1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на жилое помещение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государственной регистрации права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в собственности объектов недвижимости с назначением «жилое» (его части), занимаемой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Федерации, а также о таком помещении (его части), признанном в установленном порядке непригодным для проживания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подтверждающая,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;</w:t>
      </w:r>
    </w:p>
    <w:p w14:paraId="2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2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запрашиваемых сведений в ЕГРН</w:t>
      </w:r>
      <w:r>
        <w:rPr>
          <w:sz w:val="28"/>
        </w:rPr>
        <w:t>;</w:t>
      </w:r>
    </w:p>
    <w:p w14:paraId="2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информации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;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2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2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предоставлении Услуги</w:t>
      </w:r>
      <w:r>
        <w:rPr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.</w:t>
      </w:r>
    </w:p>
    <w:p w14:paraId="3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Росреестр</w:t>
      </w:r>
      <w:r>
        <w:rPr>
          <w:sz w:val="28"/>
        </w:rPr>
        <w:t>.</w:t>
      </w:r>
    </w:p>
    <w:p w14:paraId="3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Росреестр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3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E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F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40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1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4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4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5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6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7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4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5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6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6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7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68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9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7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>
        <w:rPr>
          <w:sz w:val="28"/>
        </w:rPr>
        <w:t>.</w:t>
      </w:r>
    </w:p>
    <w:p w14:paraId="8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8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8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9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личного приёма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9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4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9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9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власти либо лицом, его замещающим</w:t>
      </w:r>
      <w:r>
        <w:rPr>
          <w:sz w:val="28"/>
        </w:rPr>
        <w:t>.</w:t>
      </w: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9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</w:t>
      </w:r>
      <w:bookmarkStart w:id="1" w:name="_GoBack"/>
      <w:bookmarkEnd w:id="1"/>
      <w:r>
        <w:rPr>
          <w:sz w:val="28"/>
        </w:rPr>
        <w:t>новые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9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9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9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9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9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9F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A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Органе власти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в устной форме при личном обращении</w:t>
      </w:r>
      <w:r>
        <w:rPr>
          <w:sz w:val="28"/>
        </w:rPr>
        <w:t xml:space="preserve">, </w:t>
      </w:r>
      <w:r>
        <w:rPr>
          <w:sz w:val="28"/>
        </w:rPr>
        <w:t>в письменной форме почтовым отправлением по адресу, указанному заявителем (представителем)</w:t>
      </w:r>
      <w:r>
        <w:rPr>
          <w:sz w:val="28"/>
        </w:rPr>
        <w:t>.</w:t>
      </w:r>
    </w:p>
    <w:p w14:paraId="A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sz w:val="28"/>
        </w:rPr>
        <w:t>.</w:t>
      </w:r>
      <w:r>
        <w:t xml:space="preserve"> </w:t>
      </w:r>
    </w:p>
    <w:p w14:paraId="A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при личном приеме заявителя в Органе власти</w:t>
      </w:r>
      <w:r>
        <w:rPr>
          <w:sz w:val="28"/>
        </w:rPr>
        <w:t>.</w:t>
      </w:r>
    </w:p>
    <w:p w14:paraId="A3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A4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A5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И.о. Министра социального благополучия и семейной политики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A6010000">
      <w:pPr>
        <w:ind/>
        <w:jc w:val="both"/>
        <w:rPr>
          <w:b w:val="1"/>
          <w:sz w:val="28"/>
        </w:rPr>
      </w:pPr>
    </w:p>
    <w:p w14:paraId="A7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A8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A9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AA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AB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единовременной денежной выплаты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C01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D010000">
            <w:pPr>
              <w:keepNext w:val="1"/>
              <w:spacing w:after="160"/>
              <w:ind/>
            </w:pP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E01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F010000">
            <w:pPr>
              <w:keepNext w:val="1"/>
              <w:spacing w:after="160"/>
              <w:ind/>
            </w:pP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B0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101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2010000">
            <w:pPr>
              <w:keepNext w:val="1"/>
              <w:spacing w:after="160"/>
              <w:ind/>
            </w:pP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301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4010000">
            <w:pPr>
              <w:keepNext w:val="1"/>
              <w:spacing w:after="160"/>
              <w:ind/>
            </w:pP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</w:tbl>
    <w:p w14:paraId="B5010000">
      <w:pPr>
        <w:ind w:firstLine="709" w:left="0"/>
        <w:jc w:val="both"/>
        <w:rPr>
          <w:sz w:val="28"/>
        </w:rPr>
      </w:pPr>
    </w:p>
    <w:p w14:paraId="B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единовременной денежной выплаты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/>
          <w:p w14:paraId="BE010000">
            <w:r>
              <w:t>1</w:t>
            </w:r>
            <w:r>
              <w:t xml:space="preserve">. </w:t>
            </w: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/>
          <w:p w14:paraId="C201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C301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/>
          <w:p w14:paraId="C8010000">
            <w:r>
              <w:t>1</w:t>
            </w:r>
            <w:r>
              <w:t xml:space="preserve">. </w:t>
            </w: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/>
          <w:p w14:paraId="CC01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CD01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CE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CF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D001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И.о. Министра социального благополучия и семейной политики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D101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D201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D3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D4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D5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D601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D701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8010000">
            <w:pPr>
              <w:pStyle w:val="Style_4"/>
              <w:ind w:firstLine="0" w:left="0"/>
              <w:rPr>
                <w:b w:val="1"/>
              </w:rPr>
            </w:pPr>
            <w:r>
              <w:t>Назначение единовременной денежной выплаты</w:t>
            </w:r>
            <w:r>
              <w:t xml:space="preserve">, </w:t>
            </w: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обратился лично</w:t>
            </w:r>
          </w:p>
        </w:tc>
      </w:tr>
      <w:tr>
        <w:tc>
          <w:tcPr>
            <w:tcW w:type="dxa" w:w="709"/>
            <w:vAlign w:val="center"/>
          </w:tcPr>
          <w:p w14:paraId="D901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A010000">
            <w:pPr>
              <w:pStyle w:val="Style_5"/>
              <w:keepNext w:val="1"/>
              <w:ind/>
            </w:pPr>
            <w:r>
              <w:t>Сведения из Единого государственного реестра недвижимости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DB0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C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</w:t>
            </w:r>
            <w:r>
              <w:t>.</w:t>
            </w:r>
          </w:p>
          <w:p w14:paraId="DD0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E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присвоения кадастрового номера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F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ранее присвоенный государственный учетный номер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0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местоположение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1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площадь, м2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2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кадастровая стоимость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3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виды разрешенного использования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4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5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ограничение прав и обременение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601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7010000">
            <w:pPr>
              <w:pStyle w:val="Style_5"/>
              <w:keepNext w:val="1"/>
              <w:ind/>
            </w:pPr>
            <w:r>
      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      </w:r>
            <w:r>
              <w:t xml:space="preserve"> (</w:t>
            </w:r>
            <w:r>
              <w:t>Росреестр</w:t>
            </w:r>
            <w:r>
              <w:t>)</w:t>
            </w:r>
            <w:r>
              <w:t>.</w:t>
            </w:r>
          </w:p>
          <w:p w14:paraId="E80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9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EA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жилого помещения</w:t>
            </w:r>
            <w:r>
              <w:t>.</w:t>
            </w:r>
          </w:p>
          <w:p w14:paraId="EB0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C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D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жилое помещение признано непригодным для проживания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E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многоквартирный дом, в котором находится жилое помещение, признан аварийным и подлежащим сносу или реконструкции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F01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0010000">
            <w:pPr>
              <w:pStyle w:val="Style_4"/>
              <w:ind w:firstLine="0" w:left="0"/>
              <w:rPr>
                <w:b w:val="1"/>
              </w:rPr>
            </w:pPr>
            <w:r>
              <w:t>Назначение единовременной денежной выплаты</w:t>
            </w:r>
            <w:r>
              <w:t xml:space="preserve">, </w:t>
            </w:r>
            <w:r>
              <w:t>лицо из числа детей-сирот и детей, оставшихся без попечения родителей, граждане,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F101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2010000">
            <w:pPr>
              <w:pStyle w:val="Style_5"/>
              <w:keepNext w:val="1"/>
              <w:ind/>
            </w:pPr>
            <w:r>
              <w:t>Сведения из Единого государственного реестра недвижимости</w:t>
            </w:r>
            <w:r>
              <w:t xml:space="preserve"> (</w:t>
            </w:r>
            <w:r>
              <w:t>Федеральная служба государственной регистрации, кадастра и картографии</w:t>
            </w:r>
            <w:r>
              <w:t>)</w:t>
            </w:r>
            <w:r>
              <w:t>.</w:t>
            </w:r>
          </w:p>
          <w:p w14:paraId="F30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4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</w:t>
            </w:r>
            <w:r>
              <w:t>.</w:t>
            </w:r>
          </w:p>
          <w:p w14:paraId="F50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6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присвоения кадастрового номера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7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ранее присвоенный государственный учетный номер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8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местоположение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9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площадь, м2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A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кадастровая стоимость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B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виды разрешенного использования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C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правообладатель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D0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ограничение прав и обременение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E01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F010000">
            <w:pPr>
              <w:pStyle w:val="Style_5"/>
              <w:keepNext w:val="1"/>
              <w:ind/>
            </w:pPr>
            <w:r>
      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      </w:r>
            <w:r>
              <w:t xml:space="preserve"> (</w:t>
            </w:r>
            <w:r>
              <w:t>Росреестр</w:t>
            </w:r>
            <w:r>
              <w:t>)</w:t>
            </w:r>
            <w:r>
              <w:t>.</w:t>
            </w:r>
          </w:p>
          <w:p w14:paraId="000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>;</w:t>
            </w:r>
          </w:p>
          <w:p w14:paraId="0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жилого помещения</w:t>
            </w:r>
            <w:r>
              <w:t>.</w:t>
            </w:r>
          </w:p>
          <w:p w14:paraId="030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кадастровый номер объекта недвижимости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жилое помещение признано непригодным для проживания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многоквартирный дом, в котором находится жилое помещение, признан аварийным и подлежащим сносу или реконструкции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</w:tbl>
    <w:p w14:paraId="07020000">
      <w:pPr>
        <w:keepNext w:val="1"/>
        <w:spacing w:after="160" w:line="264" w:lineRule="auto"/>
        <w:ind/>
        <w:rPr>
          <w:sz w:val="28"/>
        </w:rPr>
      </w:pPr>
    </w:p>
    <w:p w14:paraId="08020000">
      <w:pPr>
        <w:pStyle w:val="Style_5"/>
        <w:ind w:firstLine="0" w:left="6237"/>
        <w:outlineLvl w:val="0"/>
        <w:rPr>
          <w:sz w:val="28"/>
        </w:rPr>
      </w:pPr>
    </w:p>
    <w:sectPr>
      <w:headerReference r:id="rId2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902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A02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footer"/>
    <w:basedOn w:val="Style_9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9_ch"/>
    <w:link w:val="Style_18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" w:type="paragraph">
    <w:name w:val="footnote reference"/>
    <w:basedOn w:val="Style_11"/>
    <w:link w:val="Style_3_ch"/>
    <w:rPr>
      <w:vertAlign w:val="superscript"/>
    </w:rPr>
  </w:style>
  <w:style w:styleId="Style_3_ch" w:type="character">
    <w:name w:val="footnote reference"/>
    <w:basedOn w:val="Style_11_ch"/>
    <w:link w:val="Style_3"/>
    <w:rPr>
      <w:vertAlign w:val="superscript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9" w:type="paragraph">
    <w:name w:val="annotation subject"/>
    <w:basedOn w:val="Style_20"/>
    <w:next w:val="Style_20"/>
    <w:link w:val="Style_19_ch"/>
    <w:rPr>
      <w:b w:val="1"/>
    </w:rPr>
  </w:style>
  <w:style w:styleId="Style_19_ch" w:type="character">
    <w:name w:val="annotation subject"/>
    <w:basedOn w:val="Style_20_ch"/>
    <w:link w:val="Style_19"/>
    <w:rPr>
      <w:b w:val="1"/>
    </w:rPr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0" w:type="paragraph">
    <w:name w:val="annotation text"/>
    <w:basedOn w:val="Style_9"/>
    <w:link w:val="Style_20_ch"/>
  </w:style>
  <w:style w:styleId="Style_20_ch" w:type="character">
    <w:name w:val="annotation text"/>
    <w:basedOn w:val="Style_9_ch"/>
    <w:link w:val="Style_20"/>
  </w:style>
  <w:style w:styleId="Style_23" w:type="paragraph">
    <w:name w:val="heading 5"/>
    <w:link w:val="Style_23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3_ch" w:type="character">
    <w:name w:val="heading 5"/>
    <w:link w:val="Style_23"/>
    <w:rPr>
      <w:rFonts w:asciiTheme="majorAscii" w:hAnsiTheme="majorHAnsi"/>
      <w:color w:themeColor="accent1" w:themeShade="7F" w:val="1F4E79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"/>
    <w:basedOn w:val="Style_9"/>
    <w:link w:val="Style_29_ch"/>
    <w:pPr>
      <w:widowControl w:val="0"/>
      <w:ind/>
    </w:pPr>
    <w:rPr>
      <w:sz w:val="24"/>
    </w:rPr>
  </w:style>
  <w:style w:styleId="Style_29_ch" w:type="character">
    <w:name w:val="Body Text"/>
    <w:basedOn w:val="Style_9_ch"/>
    <w:link w:val="Style_29"/>
    <w:rPr>
      <w:sz w:val="24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alloon Text"/>
    <w:basedOn w:val="Style_9"/>
    <w:link w:val="Style_32_ch"/>
    <w:rPr>
      <w:rFonts w:ascii="Segoe UI" w:hAnsi="Segoe UI"/>
      <w:sz w:val="18"/>
    </w:rPr>
  </w:style>
  <w:style w:styleId="Style_32_ch" w:type="character">
    <w:name w:val="Balloon Text"/>
    <w:basedOn w:val="Style_9_ch"/>
    <w:link w:val="Style_32"/>
    <w:rPr>
      <w:rFonts w:ascii="Segoe UI" w:hAnsi="Segoe UI"/>
      <w:sz w:val="18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2024-02-01T21:35:07Z</dcterms:modified>
</cp:coreProperties>
</file>