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ind w:left="0" w:right="282" w:hanging="0"/>
        <w:jc w:val="center"/>
        <w:rPr>
          <w:b w:val="false"/>
          <w:bCs w:val="false"/>
        </w:rPr>
      </w:pPr>
      <w:r>
        <w:rPr>
          <w:b w:val="false"/>
          <w:bCs w:val="false"/>
        </w:rPr>
        <w:t>Пояснительная записка</w:t>
      </w:r>
    </w:p>
    <w:p>
      <w:pPr>
        <w:pStyle w:val="Normal"/>
        <w:jc w:val="center"/>
        <w:rPr>
          <w:b w:val="false"/>
          <w:bCs w:val="false"/>
        </w:rPr>
      </w:pPr>
      <w:r>
        <w:rPr>
          <w:b w:val="false"/>
          <w:bCs w:val="false"/>
          <w:sz w:val="28"/>
        </w:rPr>
        <w:t xml:space="preserve">к проекту постановления Правительства Камчатского края </w:t>
      </w:r>
    </w:p>
    <w:p>
      <w:pPr>
        <w:pStyle w:val="Style16"/>
        <w:ind w:left="0" w:right="282" w:hanging="0"/>
        <w:jc w:val="center"/>
        <w:rPr>
          <w:b w:val="false"/>
          <w:bCs w:val="false"/>
        </w:rPr>
      </w:pPr>
      <w:r>
        <w:rPr>
          <w:b w:val="false"/>
          <w:bCs w:val="false"/>
        </w:rPr>
        <w:t>«О</w:t>
      </w:r>
      <w:r>
        <w:rPr>
          <w:b w:val="false"/>
          <w:bCs w:val="false"/>
          <w:spacing w:val="0"/>
          <w:sz w:val="28"/>
        </w:rPr>
        <w:t>б утверждении Порядка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2024–2026 годы»</w:t>
      </w:r>
    </w:p>
    <w:p>
      <w:pPr>
        <w:pStyle w:val="Style16"/>
        <w:ind w:left="0" w:right="282" w:hanging="0"/>
        <w:jc w:val="cente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Проект постановления Правительства Камчатского края «</w:t>
      </w:r>
      <w:r>
        <w:rPr>
          <w:b w:val="false"/>
          <w:bCs w:val="false"/>
          <w:sz w:val="28"/>
        </w:rPr>
        <w:t>О</w:t>
      </w:r>
      <w:r>
        <w:rPr>
          <w:b w:val="false"/>
          <w:bCs w:val="false"/>
          <w:spacing w:val="0"/>
          <w:sz w:val="28"/>
        </w:rPr>
        <w:t>б утверждении Порядка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2024–2026 годы</w:t>
      </w:r>
      <w:r>
        <w:rPr>
          <w:sz w:val="28"/>
        </w:rPr>
        <w:t xml:space="preserve">» </w:t>
      </w:r>
      <w:r>
        <w:rPr>
          <w:b w:val="false"/>
          <w:bCs w:val="false"/>
          <w:spacing w:val="0"/>
          <w:sz w:val="28"/>
        </w:rPr>
        <w:t>(далее – проект постановления) разработан в соответствии с Общими требованиями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утвержденными постановлением Правительства Российской Федерации от 25.10.2023 № 1782 (далее – Общие требования).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pacing w:val="0"/>
          <w:sz w:val="28"/>
        </w:rPr>
      </w:pPr>
      <w:r>
        <w:rPr>
          <w:b w:val="false"/>
          <w:bCs w:val="false"/>
          <w:spacing w:val="0"/>
          <w:sz w:val="28"/>
        </w:rPr>
        <w:t>Обязанность органов государственной власти субъектов Российской Федерации по возмещению специализированным службам по вопросам похоронного дела возложена абзацем пятым пункта 3 статьи 8 статьи 9 Федерального закона от 12.01.1996 № 8-ФЗ «О погребении и похоронном деле».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 w:val="false"/>
          <w:sz w:val="28"/>
        </w:rPr>
      </w:pPr>
      <w:r>
        <w:rPr>
          <w:b w:val="false"/>
          <w:bCs w:val="false"/>
          <w:spacing w:val="0"/>
          <w:sz w:val="28"/>
        </w:rPr>
        <w:t xml:space="preserve">Предоставление субсидий специализированным службам по вопросам похоронного дела осуществляется Министерством в соответствии с </w:t>
      </w:r>
      <w:r>
        <w:rPr>
          <w:b w:val="false"/>
          <w:bCs w:val="false"/>
          <w:color w:val="000000"/>
          <w:spacing w:val="0"/>
          <w:sz w:val="28"/>
        </w:rPr>
        <w:t xml:space="preserve">частью 23.3 </w:t>
      </w:r>
      <w:r>
        <w:rPr>
          <w:b w:val="false"/>
          <w:bCs w:val="false"/>
          <w:spacing w:val="0"/>
          <w:sz w:val="28"/>
        </w:rPr>
        <w:t>Положения о Министерстве социального благополучия и семейной политики Камчатского края, утвержденного постановлением Правительства Камчатского края от 28.04.2023 № 241-П.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 w:val="false"/>
          <w:bCs w:val="false"/>
          <w:spacing w:val="0"/>
          <w:sz w:val="28"/>
        </w:rPr>
      </w:pPr>
      <w:r>
        <w:rPr>
          <w:b w:val="false"/>
          <w:bCs w:val="false"/>
          <w:spacing w:val="0"/>
          <w:sz w:val="28"/>
        </w:rPr>
        <w:t xml:space="preserve">В соответствии с проектом постановления целью предоставления субсидии является возмещение затрат специализированным службам по вопросам похоронного дела по погребению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беременности.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pacing w:val="0"/>
          <w:sz w:val="28"/>
        </w:rPr>
      </w:pPr>
      <w:r>
        <w:rPr>
          <w:b w:val="false"/>
          <w:bCs w:val="false"/>
          <w:spacing w:val="0"/>
          <w:sz w:val="28"/>
        </w:rPr>
        <w:t>Способом предоставления субсидии является возмещение затрат.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bCs w:val="false"/>
          <w:spacing w:val="0"/>
          <w:sz w:val="28"/>
        </w:rPr>
      </w:pPr>
      <w:r>
        <w:rPr>
          <w:b w:val="false"/>
          <w:bCs w:val="false"/>
          <w:spacing w:val="0"/>
          <w:sz w:val="28"/>
        </w:rPr>
        <w:t>Проектом постановления в соответствии с подпунктом «е» пункта 11 Общих требований предлагается предоставлять субсидии на возмещение затрат в связи с оказанием услуг без заключения соглашения путем единовременного предоставления субсидий в связи с наличием достигнутого результата предоставления субсидии.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 w:val="false"/>
          <w:sz w:val="28"/>
        </w:rPr>
      </w:pPr>
      <w:r>
        <w:rPr>
          <w:sz w:val="28"/>
        </w:rPr>
        <w:t>Дополнительное финансирование из средств краевого бюджета в связи с изданием постановления не потребуется.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 w:val="false"/>
          <w:sz w:val="28"/>
        </w:rPr>
      </w:pPr>
      <w:r>
        <w:rPr>
          <w:b w:val="false"/>
          <w:sz w:val="28"/>
        </w:rPr>
        <w:t xml:space="preserve">Бюджетные ассигнования на 2024–2026 годы предусмотрены законом Камчатского края от 23.11.2023 № 300 «О краевом бюджете на 2024 год и на плановый период 2025 и 2026 годов». 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Проект постановления 25 января 202</w:t>
      </w:r>
      <w:r>
        <w:rPr>
          <w:sz w:val="28"/>
        </w:rPr>
        <w:t>4</w:t>
      </w:r>
      <w:r>
        <w:rPr>
          <w:sz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 02 февряля 202</w:t>
      </w:r>
      <w:r>
        <w:rPr>
          <w:sz w:val="28"/>
        </w:rPr>
        <w:t>4</w:t>
      </w:r>
      <w:r>
        <w:rPr>
          <w:sz w:val="28"/>
        </w:rPr>
        <w:t xml:space="preserve"> года независимой антикоррупционной экспертизы.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>
      <w:headerReference w:type="default" r:id="rId2"/>
      <w:type w:val="nextPage"/>
      <w:pgSz w:w="11906" w:h="16838"/>
      <w:pgMar w:left="1134" w:right="567" w:gutter="0" w:header="72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XO Thames">
    <w:charset w:val="01"/>
    <w:family w:val="roman"/>
    <w:pitch w:val="default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Verdana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252.05pt;margin-top:0.05pt;width:6pt;height:13.65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basedOn w:val="Normal"/>
    <w:next w:val="Normal"/>
    <w:uiPriority w:val="9"/>
    <w:qFormat/>
    <w:pPr>
      <w:widowControl w:val="false"/>
      <w:spacing w:before="240" w:after="60"/>
      <w:outlineLvl w:val="4"/>
    </w:pPr>
    <w:rPr>
      <w:rFonts w:ascii="Calibri" w:hAnsi="Calibri"/>
      <w:b/>
      <w:i/>
      <w:sz w:val="26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sPlusTitle">
    <w:name w:val="ConsPlusTitle"/>
    <w:link w:val="ConsPlusTitle1"/>
    <w:qFormat/>
    <w:rPr>
      <w:rFonts w:ascii="Arial" w:hAnsi="Arial"/>
      <w:b/>
    </w:rPr>
  </w:style>
  <w:style w:type="character" w:styleId="Header">
    <w:name w:val="Header"/>
    <w:qFormat/>
    <w:rPr/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yle9">
    <w:name w:val="Знак Знак"/>
    <w:link w:val="Style22"/>
    <w:qFormat/>
    <w:rPr>
      <w:rFonts w:ascii="Verdana" w:hAnsi="Verdana"/>
      <w:sz w:val="20"/>
    </w:rPr>
  </w:style>
  <w:style w:type="character" w:styleId="Style10">
    <w:name w:val="Нормальный (таблица)"/>
    <w:link w:val="Style23"/>
    <w:qFormat/>
    <w:rPr>
      <w:rFonts w:ascii="Arial" w:hAnsi="Arial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Style11">
    <w:name w:val="Таблицы (моноширинный)"/>
    <w:link w:val="Style24"/>
    <w:qFormat/>
    <w:rPr>
      <w:rFonts w:ascii="Courier New" w:hAnsi="Courier New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Calibri" w:hAnsi="Calibri"/>
      <w:b/>
      <w:i/>
      <w:sz w:val="26"/>
    </w:rPr>
  </w:style>
  <w:style w:type="character" w:styleId="NoSpacing">
    <w:name w:val="No Spacing"/>
    <w:link w:val="NoSpacing1"/>
    <w:qFormat/>
    <w:rPr>
      <w:sz w:val="24"/>
    </w:rPr>
  </w:style>
  <w:style w:type="character" w:styleId="Style12">
    <w:name w:val="Îñíîâíîé òåêñò"/>
    <w:link w:val="Style25"/>
    <w:qFormat/>
    <w:rPr/>
  </w:style>
  <w:style w:type="character" w:styleId="Heading1">
    <w:name w:val="Heading 1"/>
    <w:qFormat/>
    <w:rPr>
      <w:rFonts w:ascii="Cambria" w:hAnsi="Cambria"/>
      <w:b/>
      <w:sz w:val="32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Textbodyindent">
    <w:name w:val="Text body indent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BodyText3">
    <w:name w:val="Body Text 3"/>
    <w:link w:val="BodyText31"/>
    <w:qFormat/>
    <w:rPr>
      <w:sz w:val="16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sPlusNormal">
    <w:name w:val="ConsPlusNormal"/>
    <w:link w:val="ConsPlusNormal1"/>
    <w:qFormat/>
    <w:rPr>
      <w:rFonts w:ascii="Arial" w:hAnsi="Arial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Footer">
    <w:name w:val="Footer"/>
    <w:qFormat/>
    <w:rPr/>
  </w:style>
  <w:style w:type="character" w:styleId="DefaultParagraphFont">
    <w:name w:val="Default Paragraph Font"/>
    <w:link w:val="DefaultParagraphFont1"/>
    <w:qFormat/>
    <w:rPr/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Style13">
    <w:name w:val="Прижатый влево"/>
    <w:link w:val="Style28"/>
    <w:qFormat/>
    <w:rPr>
      <w:rFonts w:ascii="Arial" w:hAnsi="Arial"/>
    </w:rPr>
  </w:style>
  <w:style w:type="character" w:styleId="Textbody">
    <w:name w:val="Text body"/>
    <w:qFormat/>
    <w:rPr>
      <w:sz w:val="28"/>
    </w:rPr>
  </w:style>
  <w:style w:type="character" w:styleId="Style14">
    <w:name w:val="Знак Знак Знак Знак Знак Знак"/>
    <w:link w:val="Style29"/>
    <w:qFormat/>
    <w:rPr>
      <w:rFonts w:ascii="Verdana" w:hAnsi="Verdana"/>
      <w:sz w:val="20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b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BodyText2">
    <w:name w:val="Body Text 2"/>
    <w:link w:val="BodyText2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6">
    <w:name w:val="Body Text"/>
    <w:basedOn w:val="Normal"/>
    <w:pPr>
      <w:jc w:val="both"/>
    </w:pPr>
    <w:rPr>
      <w:sz w:val="28"/>
    </w:rPr>
  </w:style>
  <w:style w:type="paragraph" w:styleId="Style17">
    <w:name w:val="List"/>
    <w:basedOn w:val="Style16"/>
    <w:pPr/>
    <w:rPr>
      <w:rFonts w:ascii="Times New Roman" w:hAnsi="Times New Roman"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Style20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Знак Знак"/>
    <w:basedOn w:val="Normal"/>
    <w:link w:val="Style9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Style23">
    <w:name w:val="Нормальный (таблица)"/>
    <w:basedOn w:val="Normal"/>
    <w:next w:val="Normal"/>
    <w:link w:val="Style10"/>
    <w:qFormat/>
    <w:pPr>
      <w:widowControl w:val="false"/>
      <w:jc w:val="both"/>
    </w:pPr>
    <w:rPr>
      <w:rFonts w:ascii="Arial" w:hAnsi="Arial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4">
    <w:name w:val="Таблицы (моноширинный)"/>
    <w:basedOn w:val="Normal"/>
    <w:next w:val="Normal"/>
    <w:link w:val="Style11"/>
    <w:qFormat/>
    <w:pPr>
      <w:widowControl w:val="false"/>
      <w:jc w:val="both"/>
    </w:pPr>
    <w:rPr>
      <w:rFonts w:ascii="Courier New" w:hAnsi="Courier New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5">
    <w:name w:val="Îñíîâíîé òåêñò"/>
    <w:basedOn w:val="Normal"/>
    <w:link w:val="Style12"/>
    <w:qFormat/>
    <w:pPr/>
    <w:rPr/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6">
    <w:name w:val="Body Text Indent"/>
    <w:basedOn w:val="Normal"/>
    <w:pPr>
      <w:spacing w:before="0" w:after="120"/>
      <w:ind w:left="283" w:right="0" w:hanging="0"/>
    </w:pPr>
    <w:rPr/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odyText31">
    <w:name w:val="Body Text 3"/>
    <w:basedOn w:val="Normal"/>
    <w:link w:val="BodyText3"/>
    <w:qFormat/>
    <w:pPr>
      <w:spacing w:before="0" w:after="120"/>
    </w:pPr>
    <w:rPr>
      <w:sz w:val="16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7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8">
    <w:name w:val="Прижатый влево"/>
    <w:basedOn w:val="Normal"/>
    <w:next w:val="Normal"/>
    <w:link w:val="Style13"/>
    <w:qFormat/>
    <w:pPr>
      <w:widowControl w:val="false"/>
    </w:pPr>
    <w:rPr>
      <w:rFonts w:ascii="Arial" w:hAnsi="Arial"/>
    </w:rPr>
  </w:style>
  <w:style w:type="paragraph" w:styleId="Style29">
    <w:name w:val="Знак Знак Знак Знак Знак Знак"/>
    <w:basedOn w:val="Normal"/>
    <w:link w:val="Style14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0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31">
    <w:name w:val="Title"/>
    <w:basedOn w:val="Normal"/>
    <w:uiPriority w:val="10"/>
    <w:qFormat/>
    <w:pPr>
      <w:jc w:val="center"/>
    </w:pPr>
    <w:rPr>
      <w:b/>
      <w:sz w:val="28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BodyText21">
    <w:name w:val="Body Text 2"/>
    <w:basedOn w:val="Normal"/>
    <w:link w:val="BodyText2"/>
    <w:qFormat/>
    <w:pPr>
      <w:spacing w:lineRule="auto" w:line="480" w:before="0" w:after="120"/>
    </w:pPr>
    <w:rPr/>
  </w:style>
  <w:style w:type="paragraph" w:styleId="Style32">
    <w:name w:val="Содержимое врезки"/>
    <w:basedOn w:val="Normal"/>
    <w:qFormat/>
    <w:pPr/>
    <w:rPr/>
  </w:style>
  <w:style w:type="table" w:styleId="Style_39">
    <w:name w:val="Table Grid"/>
    <w:basedOn w:val="Style_40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4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LibreOffice/7.5.3.2$Windows_X86_64 LibreOffice_project/9f56dff12ba03b9acd7730a5a481eea045e468f3</Application>
  <AppVersion>15.0000</AppVersion>
  <Pages>2</Pages>
  <Words>433</Words>
  <Characters>3155</Characters>
  <CharactersWithSpaces>3576</CharactersWithSpaces>
  <Paragraphs>14</Paragraphs>
  <Company>КонсультантПлюс Версия 4023.00.52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2024-01-25T17:16:00Z</dcterms:created>
  <dc:creator/>
  <dc:description/>
  <dc:language>ru-RU</dc:language>
  <cp:lastModifiedBy/>
  <dcterms:modified xsi:type="dcterms:W3CDTF">2024-01-25T17:28:15Z</dcterms:modified>
  <cp:revision>7</cp:revision>
  <dc:subject/>
  <dc:title>Постановление Правительства РФ от 25.10.2023 N 1782"Об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