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widowControl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Пояснительная записка</w:t>
      </w:r>
    </w:p>
    <w:p>
      <w:pPr>
        <w:pStyle w:val="ConsPlusTitle"/>
        <w:widowControl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к проекту постановления Правительства Камчатского края </w:t>
      </w:r>
    </w:p>
    <w:p>
      <w:pPr>
        <w:pStyle w:val="ConsPlusTitle"/>
        <w:widowControl/>
        <w:jc w:val="center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«О внесении изменений в постановление Правительства Камчатского края </w:t>
        <w:br/>
        <w:t>от 07.12.2022 № 639-П 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>О реализации в Камчатском крае мероприятий, направленных на оказание поддержки жителям города Херсона и части Херсонской области, покинувшим место постоянного проживания и прибывшим в экстренном  порядке на иные территории на постоянное место жительства</w:t>
      </w:r>
      <w:r>
        <w:rPr>
          <w:rFonts w:ascii="Times New Roman" w:hAnsi="Times New Roman"/>
          <w:b w:val="false"/>
          <w:sz w:val="28"/>
          <w:szCs w:val="28"/>
        </w:rPr>
        <w:t>»</w:t>
      </w:r>
    </w:p>
    <w:p>
      <w:pPr>
        <w:pStyle w:val="ConsPlusTitle"/>
        <w:widowControl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 постановления </w:t>
      </w:r>
      <w:r>
        <w:rPr>
          <w:rFonts w:ascii="Times New Roman" w:hAnsi="Times New Roman"/>
          <w:sz w:val="28"/>
          <w:szCs w:val="28"/>
        </w:rPr>
        <w:t xml:space="preserve">Правительства Камчатского края </w:t>
      </w:r>
      <w:r>
        <w:rPr>
          <w:rFonts w:ascii="Times New Roman" w:hAnsi="Times New Roman"/>
          <w:b w:val="false"/>
          <w:sz w:val="28"/>
          <w:szCs w:val="28"/>
        </w:rPr>
        <w:t>«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 xml:space="preserve">О реализации в Камчатском крае мероприятий, направленных на оказание поддержки жителям города Херсона и части Херсонской области, покинувшим место постоянного проживания и прибывшим в экстренном порядке на иные территории на постоянное место жительства» (далее – проект Постановления, Постановление) разработан </w:t>
      </w:r>
      <w:r>
        <w:rPr>
          <w:rFonts w:eastAsia="Courier New" w:cs="Times New Roman" w:ascii="Times New Roman" w:hAnsi="Times New Roman"/>
          <w:b w:val="false"/>
          <w:bCs/>
          <w:color w:val="000000"/>
          <w:sz w:val="28"/>
          <w:szCs w:val="28"/>
          <w:lang w:val="ru-RU" w:eastAsia="en-US" w:bidi="ar-SA"/>
        </w:rPr>
        <w:t xml:space="preserve">в целях приведения в соответствие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 xml:space="preserve">с изменениями внесенными в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>п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>остановление Правительства Российской Федерации от 21.10.2022 № 1876</w:t>
        <w:br/>
        <w:t xml:space="preserve">«О реализации мероприятий по переселению жителей г. Херсона и части Херсонской области, покинувших место постоянного проживания и прибывших в экстренном порядке на иные территории Российской Федерации» (далее </w:t>
      </w:r>
      <w:r>
        <w:rPr>
          <w:rFonts w:eastAsia="Courier New" w:cs="Times New Roman" w:ascii="Times New Roman" w:hAnsi="Times New Roman"/>
          <w:b w:val="false"/>
          <w:bCs/>
          <w:color w:val="000000"/>
          <w:sz w:val="28"/>
          <w:szCs w:val="28"/>
          <w:lang w:val="ru-RU" w:eastAsia="en-US" w:bidi="ar-SA"/>
        </w:rPr>
        <w:t>–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 xml:space="preserve"> Постановление Правительства Российской Федерации от 21.10.2022 № 1876).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Проектом постановления по тексту уточняются формулировки </w:t>
      </w: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нормативных положений в части исключения слова «массовом» и дополнение после слов «иные территории» словами «Российской Федерации».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В отдельных положениях Постановления уточняются сроки, в соответствии с которыми: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>граждане должны были покинуть территории города Херсона и Херсонской о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бласти после 24 февраля 2022 года (пункт 1 части 4 Приложения 1 к Постановлению и пункт 1 части 2 Приложения 2 к Постановлению);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граждане не должны иметь регистрацию в Российской Федерации по состоянию</w:t>
      </w:r>
      <w:r>
        <w:rPr>
          <w:rFonts w:eastAsia="Courier New" w:ascii="Times New Roman" w:hAnsi="Times New Roman"/>
          <w:bCs/>
          <w:sz w:val="28"/>
          <w:szCs w:val="28"/>
          <w:shd w:fill="FFFFFF" w:val="clear"/>
          <w:lang w:eastAsia="en-US"/>
        </w:rPr>
        <w:t xml:space="preserve"> на 24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 февраля 2022 года (пункт 3 части 4 Приложения 1 к Постановлению и пункт 3 части 2 Приложения 2 к Постановлению);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граждане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должны подать заявление на предоставление единовременных выплат на обзаведение имуществом и (или) сертификата до 1 декабря 2023 года (включительно) (пункт 2 части 4 Приложения 1 к Постановлению и пункт 2 части 2 Приложения 2 к Постановлению);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ourier New"/>
          <w:bCs/>
          <w:sz w:val="28"/>
          <w:szCs w:val="28"/>
          <w:lang w:eastAsia="en-US"/>
        </w:rPr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граждане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должны обратиться повторно до 29 декабря 2023 года (включительно) в случае устранения причин, послуживших основанием для принятия решения об отказе в предоставлении единовременной и (или) социальной выплат (часть 41 Приложения 1 к Постановлению и часть 24 Приложения 2 к Постановлению);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val="ru-RU" w:eastAsia="en-US"/>
        </w:rPr>
        <w:t xml:space="preserve">граждане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могут подать до 2 апреля 2024 года (включительно) заявление о перечислении социальной выплаты или об аннулировании ранее выданного сертификата в случае включения в новый сертификат членов семьи (включительно) (части 30 и 34 Приложения 1 к Постановлению);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определяется размер социальной выплаты с учетом семейного положения гражданина </w:t>
      </w:r>
      <w:r>
        <w:rPr>
          <w:rFonts w:ascii="Times New Roman" w:hAnsi="Times New Roman"/>
          <w:color w:val="000000"/>
          <w:sz w:val="28"/>
          <w:shd w:fill="FFFFFF" w:val="clear"/>
        </w:rPr>
        <w:t>по состоянию на 13 октября 2022 года (часть 7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 Приложения 1 к Постановлению</w:t>
      </w:r>
      <w:r>
        <w:rPr>
          <w:rFonts w:ascii="Times New Roman" w:hAnsi="Times New Roman"/>
          <w:color w:val="000000"/>
          <w:sz w:val="28"/>
          <w:shd w:fill="FFFFFF" w:val="clear"/>
        </w:rPr>
        <w:t>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Courier New" w:ascii="Times New Roman" w:hAnsi="Times New Roman"/>
          <w:bCs/>
          <w:sz w:val="28"/>
          <w:szCs w:val="28"/>
          <w:lang w:eastAsia="en-US"/>
        </w:rPr>
        <w:t xml:space="preserve">–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до 31 мая 2024 года (включительно) должны быть сформированы и направлены в Фонд заявки на предоставление финансовой поддержки субъекта Российской Федерации (п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en-US"/>
        </w:rPr>
        <w:t xml:space="preserve">ункт 1 части 43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Приложения 1 к Постановлению и часть 29 Приложения 2 к Постановлению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en-US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Проектом Постановления в целях реализации мероприятий, предусмотренных 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 xml:space="preserve">Постановлением № 639-П, </w:t>
      </w:r>
      <w:r>
        <w:rPr>
          <w:rFonts w:eastAsia="Times New Roman" w:cs="Times New Roman" w:ascii="Times New Roman" w:hAnsi="Times New Roman"/>
          <w:sz w:val="28"/>
          <w:szCs w:val="28"/>
        </w:rPr>
        <w:t>уточняются критерии которым должны соответствовать граждане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 xml:space="preserve"> (часть 4 </w:t>
      </w:r>
      <w:r>
        <w:rPr>
          <w:rFonts w:eastAsia="Courier New" w:ascii="Times New Roman" w:hAnsi="Times New Roman"/>
          <w:bCs/>
          <w:sz w:val="28"/>
          <w:szCs w:val="28"/>
          <w:lang w:eastAsia="en-US"/>
        </w:rPr>
        <w:t>Приложения 1 к Постановлению и  части 2 Приложения 2 к Постановлению)</w:t>
      </w:r>
      <w:r>
        <w:rPr>
          <w:rFonts w:eastAsia="Times New Roman" w:cs="Times New Roman" w:ascii="Times New Roman" w:hAnsi="Times New Roman"/>
          <w:sz w:val="28"/>
          <w:szCs w:val="28"/>
        </w:rPr>
        <w:t>: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Courier New" w:cs="Times New Roman" w:ascii="Times New Roman" w:hAnsi="Times New Roman"/>
          <w:bCs/>
          <w:color w:val="000000"/>
          <w:sz w:val="28"/>
          <w:szCs w:val="28"/>
          <w:highlight w:val="white"/>
          <w:lang w:eastAsia="en-US"/>
        </w:rPr>
        <w:t>–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граждане по состоянию на 24 февраля 2022 года были зарегистрированы по месту жительства на территории города Херсона или части Херсонской области и не были зарегистрированы по месту жительства на иной территории; 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Courier New" w:cs="Times New Roman" w:ascii="Times New Roman" w:hAnsi="Times New Roman"/>
          <w:bCs/>
          <w:color w:val="000000"/>
          <w:sz w:val="28"/>
          <w:szCs w:val="28"/>
          <w:highlight w:val="white"/>
          <w:lang w:eastAsia="en-US"/>
        </w:rPr>
        <w:t>–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у гражданина, достигшего возраста 14 лет, имеется паспорт гражданина Российской Федерации, а в отношении ребенка в возрасте до 14 лет – свидетельство о рождении ребенка или нотариально заверенный перевод на русский язык свидетельства о рождении ребенка, выданного полномочным органом иностранного государства, с проставленной отметкой, подтверждающей наличие у ребенка гражданства Российской Федерации, либо паспорт (паспорта) родителя (родителей) с внесенными в паспорт (паспорта) родителя (родителей) сведениями о ребенке; 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Courier New" w:cs="Times New Roman" w:ascii="Times New Roman" w:hAnsi="Times New Roman"/>
          <w:bCs/>
          <w:color w:val="000000"/>
          <w:sz w:val="28"/>
          <w:szCs w:val="28"/>
          <w:highlight w:val="white"/>
          <w:lang w:eastAsia="en-US"/>
        </w:rPr>
        <w:t>–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>граждане ранее не реализовали право на обеспечение жилым помещением или улучшение жилищных условий с использованием социальной выплаты или субсидии, предоставляемых в порядке, установленном Правительством Российской Федерации, или право на получение мер социальной поддержки граждан, предоставляемых в целях компенсации за утраченное жилье за счет средств бюджетов бюджетной системы Российской Федерации;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Courier New" w:cs="Times New Roman" w:ascii="Times New Roman" w:hAnsi="Times New Roman"/>
          <w:bCs/>
          <w:color w:val="000000"/>
          <w:sz w:val="28"/>
          <w:szCs w:val="28"/>
          <w:highlight w:val="white"/>
          <w:lang w:eastAsia="en-US"/>
        </w:rPr>
        <w:t>–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>наличие у гражданина и членов его семьи гражданства Российской Федерации.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Times New Roman" w:cs="Times New Roman" w:ascii="Times New Roman" w:hAnsi="Times New Roman"/>
          <w:color w:val="000000"/>
          <w:sz w:val="28"/>
          <w:highlight w:val="white"/>
        </w:rPr>
        <w:t xml:space="preserve">Увеличиваются сроки рассмотрения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заявления и приложенных к нему документов в случае их рассмотрения: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Министерством социального благополучия и семейной политики Камчатского края до 10 рабочих дней;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white"/>
          <w:lang w:eastAsia="ru-RU"/>
        </w:rPr>
        <w:t>Комиссией по реализации в Камчатском крае мероприятий, направленных на оказание поддержки жителям города Херсона и части Херсонской области  до 20 рабочих дней.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highlight w:val="white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/>
          <w:bCs/>
          <w:sz w:val="28"/>
          <w:szCs w:val="28"/>
        </w:rPr>
        <w:t>п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>остановления Правительства Российской Федерации от 21.10.2022 № 1876</w:t>
      </w:r>
      <w:r>
        <w:rPr>
          <w:rFonts w:ascii="Times New Roman" w:hAnsi="Times New Roman"/>
          <w:bCs/>
          <w:sz w:val="28"/>
          <w:szCs w:val="28"/>
        </w:rPr>
        <w:t xml:space="preserve"> расширяются полномочия </w:t>
      </w:r>
      <w:r>
        <w:rPr>
          <w:rFonts w:eastAsia="Times New Roman" w:cs="Times New Roman" w:ascii="Times New Roman" w:hAnsi="Times New Roman"/>
          <w:color w:val="000000"/>
          <w:sz w:val="28"/>
        </w:rPr>
        <w:t>Комиссии по реализации в Камчатском крае мероприятий, направленных на оказание поддержки жителям города Херсона и части Херсонской области и Министерства социального благополучия и семейной политики Камчатского края, а также  уточняется</w:t>
      </w:r>
      <w:r>
        <w:rPr>
          <w:rFonts w:ascii="Times New Roman" w:hAnsi="Times New Roman"/>
          <w:bCs/>
          <w:sz w:val="28"/>
          <w:szCs w:val="28"/>
        </w:rPr>
        <w:t xml:space="preserve"> порядок принятия решения об отмене ранее принятого решения о предоставлении гражданину единовременной выплаты на обзаведение имуществом и (или) социальной выплаты до их перечисления в случае выявления несоответствия </w:t>
      </w:r>
      <w:r>
        <w:rPr>
          <w:rFonts w:ascii="Times New Roman" w:hAnsi="Times New Roman"/>
          <w:bCs/>
          <w:sz w:val="28"/>
          <w:szCs w:val="28"/>
          <w:highlight w:val="white"/>
        </w:rPr>
        <w:t>установленным Постановлением критериям или требованиям (пункты 3</w:t>
      </w:r>
      <w:r>
        <w:rPr>
          <w:rFonts w:eastAsia="Courier New" w:ascii="Times New Roman" w:hAnsi="Times New Roman"/>
          <w:bCs/>
          <w:sz w:val="28"/>
          <w:szCs w:val="28"/>
          <w:highlight w:val="white"/>
          <w:lang w:eastAsia="en-US"/>
        </w:rPr>
        <w:t>–</w:t>
      </w:r>
      <w:r>
        <w:rPr>
          <w:rFonts w:ascii="Times New Roman" w:hAnsi="Times New Roman"/>
          <w:bCs/>
          <w:sz w:val="28"/>
          <w:szCs w:val="28"/>
          <w:highlight w:val="white"/>
        </w:rPr>
        <w:t>5 части 25, пункты 3</w:t>
      </w:r>
      <w:r>
        <w:rPr>
          <w:rFonts w:eastAsia="Courier New" w:ascii="Times New Roman" w:hAnsi="Times New Roman"/>
          <w:bCs/>
          <w:sz w:val="28"/>
          <w:szCs w:val="28"/>
          <w:highlight w:val="white"/>
          <w:lang w:eastAsia="en-US"/>
        </w:rPr>
        <w:t>–</w:t>
      </w:r>
      <w:r>
        <w:rPr>
          <w:rFonts w:ascii="Times New Roman" w:hAnsi="Times New Roman"/>
          <w:bCs/>
          <w:sz w:val="28"/>
          <w:szCs w:val="28"/>
          <w:highlight w:val="white"/>
        </w:rPr>
        <w:t>5 части 26 , часть 42</w:t>
      </w:r>
      <w:r>
        <w:rPr>
          <w:rFonts w:ascii="Times New Roman" w:hAnsi="Times New Roman"/>
          <w:bCs/>
          <w:sz w:val="28"/>
          <w:szCs w:val="28"/>
          <w:highlight w:val="white"/>
          <w:vertAlign w:val="superscript"/>
        </w:rPr>
        <w:t xml:space="preserve">1 </w:t>
      </w:r>
      <w:r>
        <w:rPr>
          <w:rFonts w:ascii="Times New Roman" w:hAnsi="Times New Roman"/>
          <w:bCs/>
          <w:sz w:val="28"/>
          <w:szCs w:val="28"/>
          <w:highlight w:val="white"/>
        </w:rPr>
        <w:t>приложения 1 к Постановлению, пункты 3</w:t>
      </w:r>
      <w:r>
        <w:rPr>
          <w:rFonts w:eastAsia="Courier New" w:ascii="Times New Roman" w:hAnsi="Times New Roman"/>
          <w:bCs/>
          <w:sz w:val="28"/>
          <w:szCs w:val="28"/>
          <w:highlight w:val="white"/>
          <w:lang w:eastAsia="en-US"/>
        </w:rPr>
        <w:t>–</w:t>
      </w:r>
      <w:r>
        <w:rPr>
          <w:rFonts w:ascii="Times New Roman" w:hAnsi="Times New Roman"/>
          <w:bCs/>
          <w:sz w:val="28"/>
          <w:szCs w:val="28"/>
          <w:highlight w:val="white"/>
        </w:rPr>
        <w:t>5 части 21 и пункт 3 части 22, часть 24</w:t>
      </w:r>
      <w:r>
        <w:rPr>
          <w:rFonts w:ascii="Times New Roman" w:hAnsi="Times New Roman"/>
          <w:bCs/>
          <w:sz w:val="28"/>
          <w:szCs w:val="28"/>
          <w:highlight w:val="white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  <w:highlight w:val="white"/>
        </w:rPr>
        <w:t xml:space="preserve"> приложения 2 к Постановлению).</w:t>
      </w:r>
    </w:p>
    <w:p>
      <w:pPr>
        <w:pStyle w:val="Normal"/>
        <w:spacing w:lineRule="atLeast" w:line="57" w:before="0" w:after="0"/>
        <w:ind w:left="0" w:right="0" w:firstLine="709"/>
        <w:jc w:val="both"/>
        <w:rPr>
          <w:rFonts w:ascii="Times New Roman" w:hAnsi="Times New Roman" w:eastAsia="Cambria" w:cs="Cambria"/>
          <w:bCs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Cambria" w:cs="Cambria" w:ascii="Times New Roman" w:hAnsi="Times New Roman"/>
          <w:bCs/>
          <w:color w:val="auto"/>
          <w:kern w:val="0"/>
          <w:sz w:val="28"/>
          <w:szCs w:val="28"/>
          <w:lang w:val="ru-RU" w:eastAsia="ru-RU" w:bidi="ar-SA"/>
        </w:rPr>
        <w:t>Часть 31 предлага</w:t>
      </w:r>
      <w:r>
        <w:rPr>
          <w:rFonts w:eastAsia="Cambria" w:cs="Cambria" w:ascii="Times New Roman" w:hAnsi="Times New Roman"/>
          <w:bCs/>
          <w:color w:val="auto"/>
          <w:kern w:val="0"/>
          <w:sz w:val="28"/>
          <w:szCs w:val="28"/>
          <w:lang w:val="ru-RU" w:eastAsia="ru-RU" w:bidi="ar-SA"/>
        </w:rPr>
        <w:t>ется признать утратившей силу в связи с изложением аналогичных положений в части 30 Постановления, а часть 32 – в связи с исключением положений из п</w:t>
      </w: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8"/>
          <w:szCs w:val="28"/>
          <w:lang w:val="ru-RU" w:eastAsia="en-US" w:bidi="ar-SA"/>
        </w:rPr>
        <w:t>остановления Правительства Российской Федерации от 21.10.2022 № 1876.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Также уточняется периодичность предоставления отчетности об осуществлении расходов и о предоставленных выплатах в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автоматизированную информационную систему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 xml:space="preserve">публично-правовой компании «Фонд развития территорий» </w:t>
      </w:r>
      <w:r>
        <w:rPr>
          <w:rFonts w:ascii="Times New Roman" w:hAnsi="Times New Roman"/>
          <w:bCs/>
          <w:sz w:val="28"/>
          <w:szCs w:val="28"/>
        </w:rPr>
        <w:t>(пункт 4 части 43 п</w:t>
      </w:r>
      <w:r>
        <w:rPr>
          <w:rFonts w:ascii="Times New Roman" w:hAnsi="Times New Roman"/>
          <w:bCs/>
          <w:sz w:val="28"/>
          <w:szCs w:val="28"/>
          <w:highlight w:val="white"/>
        </w:rPr>
        <w:t>риложения 1 к Постановлению</w:t>
      </w:r>
      <w:r>
        <w:rPr>
          <w:rFonts w:ascii="Times New Roman" w:hAnsi="Times New Roman"/>
          <w:bCs/>
          <w:sz w:val="28"/>
          <w:szCs w:val="28"/>
        </w:rPr>
        <w:t>, пункт 3 части 29 п</w:t>
      </w:r>
      <w:r>
        <w:rPr>
          <w:rFonts w:ascii="Times New Roman" w:hAnsi="Times New Roman"/>
          <w:bCs/>
          <w:sz w:val="28"/>
          <w:szCs w:val="28"/>
          <w:highlight w:val="white"/>
        </w:rPr>
        <w:t>риложения 2 к Постановлению</w:t>
      </w:r>
      <w:r>
        <w:rPr>
          <w:rFonts w:ascii="Times New Roman" w:hAnsi="Times New Roman"/>
          <w:bCs/>
          <w:sz w:val="28"/>
          <w:szCs w:val="28"/>
        </w:rPr>
        <w:t xml:space="preserve">), по тексту Постановления </w:t>
      </w:r>
      <w:r>
        <w:rPr>
          <w:rFonts w:ascii="Times New Roman" w:hAnsi="Times New Roman"/>
          <w:sz w:val="28"/>
          <w:szCs w:val="28"/>
        </w:rPr>
        <w:t>приводится в соответствие с п</w:t>
      </w:r>
      <w:r>
        <w:rPr>
          <w:rFonts w:eastAsia="Calibri" w:cs="Times New Roman" w:ascii="Times New Roman" w:hAnsi="Times New Roman"/>
          <w:b w:val="false"/>
          <w:bCs w:val="false"/>
          <w:color w:val="000000"/>
          <w:sz w:val="28"/>
          <w:szCs w:val="28"/>
          <w:lang w:val="ru-RU" w:eastAsia="en-US" w:bidi="ar-SA"/>
        </w:rPr>
        <w:t>остановлением Правительства Российской Федерации от 21.10.2022 № 1876</w:t>
      </w:r>
      <w:r>
        <w:rPr>
          <w:rFonts w:ascii="Times New Roman" w:hAnsi="Times New Roman"/>
          <w:sz w:val="28"/>
          <w:szCs w:val="28"/>
        </w:rPr>
        <w:t xml:space="preserve"> наименование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автоматизированную информационную систему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eastAsia="Times New Roman" w:ascii="Times New Roman" w:hAnsi="Times New Roman"/>
          <w:bCs/>
          <w:sz w:val="28"/>
          <w:szCs w:val="28"/>
          <w:lang w:eastAsia="ru-RU"/>
        </w:rPr>
        <w:t>публично-правовой компании «Фонд развития территорий»</w:t>
      </w:r>
      <w:r>
        <w:rPr>
          <w:rFonts w:ascii="Times New Roman" w:hAnsi="Times New Roman"/>
          <w:sz w:val="28"/>
          <w:szCs w:val="28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Издание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Правительства Камчатского края </w:t>
      </w:r>
      <w:r>
        <w:rPr>
          <w:rFonts w:ascii="Times New Roman" w:hAnsi="Times New Roman"/>
          <w:bCs/>
          <w:sz w:val="28"/>
          <w:szCs w:val="28"/>
        </w:rPr>
        <w:t>не повлечет за собой выделения дополнительных средств краевого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постановления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hyperlink r:id="rId2" w:tgtFrame="https://npaproject.kamgov.ru/">
        <w:r>
          <w:rPr>
            <w:rStyle w:val="-"/>
            <w:rFonts w:ascii="Times New Roman" w:hAnsi="Times New Roman"/>
            <w:bCs/>
            <w:color w:val="000000"/>
            <w:sz w:val="28"/>
            <w:szCs w:val="28"/>
            <w:u w:val="none"/>
          </w:rPr>
          <w:t>https://npaproject.kamgov.ru</w:t>
        </w:r>
      </w:hyperlink>
      <w:r>
        <w:rPr>
          <w:rFonts w:ascii="Times New Roman" w:hAnsi="Times New Roman"/>
          <w:bCs/>
          <w:sz w:val="28"/>
          <w:szCs w:val="28"/>
        </w:rPr>
        <w:t>) 27 декабря 2023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 Порядком проведения процедуры оценки регулирующего воздействия проектов нормативных правовых актов Камчатского края и Порядком проведения экспертизы нормативных правовых актов Камчатского края, утвержденных постановлением Правительства Камчатского края</w:t>
        <w:br/>
        <w:t>от 28.09.2022 № 510-П проект постановления не подлежит оценке регулирующего воздействия.</w:t>
      </w:r>
    </w:p>
    <w:sectPr>
      <w:headerReference w:type="default" r:id="rId3"/>
      <w:type w:val="nextPage"/>
      <w:pgSz w:w="11906" w:h="16838"/>
      <w:pgMar w:left="1418" w:right="567" w:gutter="0" w:header="709" w:top="766" w:footer="0" w:bottom="568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Arial">
    <w:charset w:val="01"/>
    <w:family w:val="roman"/>
    <w:pitch w:val="default"/>
  </w:font>
  <w:font w:name="Cambria Math">
    <w:charset w:val="01"/>
    <w:family w:val="roman"/>
    <w:pitch w:val="default"/>
  </w:font>
  <w:font w:name="Tahoma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Comforta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spacing w:before="0" w:after="20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3</w:t>
    </w:r>
    <w:r>
      <w:rPr>
        <w:sz w:val="24"/>
        <w:szCs w:val="24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ourier New" w:hAnsi="Courier New" w:eastAsia="Cambria" w:cs="Cambria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ourier New" w:hAnsi="Courier New" w:eastAsia="Cambria" w:cs="Cambria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Symbol" w:hAnsi="Symbol"/>
      <w:b/>
      <w:bCs/>
      <w:sz w:val="32"/>
      <w:szCs w:val="32"/>
      <w:lang w:val="en-US" w:eastAsia="en-US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tyle5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6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-">
    <w:name w:val="Hyperlink"/>
    <w:rPr>
      <w:color w:val="0000FF"/>
      <w:u w:val="single"/>
    </w:rPr>
  </w:style>
  <w:style w:type="character" w:styleId="Style7" w:customStyle="1">
    <w:name w:val="Текст сноски Знак"/>
    <w:uiPriority w:val="99"/>
    <w:qFormat/>
    <w:rPr>
      <w:sz w:val="18"/>
    </w:rPr>
  </w:style>
  <w:style w:type="character" w:styleId="Style8">
    <w:name w:val="Символ сноски"/>
    <w:uiPriority w:val="99"/>
    <w:unhideWhenUsed/>
    <w:qFormat/>
    <w:rPr>
      <w:vertAlign w:val="superscript"/>
    </w:rPr>
  </w:style>
  <w:style w:type="character" w:styleId="Style9">
    <w:name w:val="Footnote Reference"/>
    <w:rPr>
      <w:vertAlign w:val="superscript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2">
    <w:name w:val="Endnote Reference"/>
    <w:rPr>
      <w:vertAlign w:val="superscript"/>
    </w:rPr>
  </w:style>
  <w:style w:type="character" w:styleId="Style13" w:customStyle="1">
    <w:name w:val="Текст выноски Знак"/>
    <w:link w:val="BalloonText"/>
    <w:semiHidden/>
    <w:qFormat/>
    <w:rPr>
      <w:rFonts w:ascii="Cambria Math" w:hAnsi="Cambria Math"/>
      <w:sz w:val="16"/>
      <w:szCs w:val="16"/>
    </w:rPr>
  </w:style>
  <w:style w:type="character" w:styleId="Style14" w:customStyle="1">
    <w:name w:val="Нижний колонтитул Знак"/>
    <w:qFormat/>
    <w:rPr>
      <w:rFonts w:ascii="Tahoma" w:hAnsi="Tahoma"/>
    </w:rPr>
  </w:style>
  <w:style w:type="character" w:styleId="Style15" w:customStyle="1">
    <w:name w:val="Заголовок Знак"/>
    <w:qFormat/>
    <w:rPr>
      <w:rFonts w:ascii="Cambria" w:hAnsi="Cambria"/>
      <w:b/>
      <w:sz w:val="32"/>
    </w:rPr>
  </w:style>
  <w:style w:type="character" w:styleId="Blk" w:customStyle="1">
    <w:name w:val="blk"/>
    <w:qFormat/>
    <w:rPr/>
  </w:style>
  <w:style w:type="character" w:styleId="Hl" w:customStyle="1">
    <w:name w:val="hl"/>
    <w:qFormat/>
    <w:rPr/>
  </w:style>
  <w:style w:type="character" w:styleId="Nobr" w:customStyle="1">
    <w:name w:val="nobr"/>
    <w:qFormat/>
    <w:rPr/>
  </w:style>
  <w:style w:type="character" w:styleId="Style16" w:customStyle="1">
    <w:name w:val="Верхний колонтитул Знак"/>
    <w:qFormat/>
    <w:rPr>
      <w:sz w:val="22"/>
      <w:szCs w:val="22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Times New Roman" w:hAnsi="Times New Roman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Times New Roman" w:hAnsi="Times New Roman" w:cs="Lucida Sans"/>
    </w:rPr>
  </w:style>
  <w:style w:type="paragraph" w:styleId="Style20">
    <w:name w:val="Caption"/>
    <w:basedOn w:val="Normal"/>
    <w:next w:val="Normal"/>
    <w:uiPriority w:val="35"/>
    <w:semiHidden/>
    <w:unhideWhenUsed/>
    <w:qFormat/>
    <w:pPr/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ascii="Times New Roman" w:hAnsi="Times New Roman" w:cs="Lucida Sans"/>
    </w:rPr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ListParagraph">
    <w:name w:val="List Paragraph"/>
    <w:basedOn w:val="Normal"/>
    <w:qFormat/>
    <w:pPr>
      <w:spacing w:lineRule="auto" w:line="259" w:before="0" w:after="160"/>
      <w:ind w:left="720" w:hanging="0"/>
      <w:contextualSpacing/>
    </w:pPr>
    <w:rPr>
      <w:rFonts w:eastAsia="Courier New"/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Courier New" w:cs="Cambria"/>
      <w:color w:val="auto"/>
      <w:kern w:val="0"/>
      <w:sz w:val="28"/>
      <w:szCs w:val="22"/>
      <w:lang w:val="ru-RU" w:eastAsia="en-US" w:bidi="ar-SA"/>
    </w:rPr>
  </w:style>
  <w:style w:type="paragraph" w:styleId="Style22">
    <w:name w:val="Title"/>
    <w:basedOn w:val="Normal"/>
    <w:link w:val="Style15"/>
    <w:qFormat/>
    <w:pPr>
      <w:spacing w:lineRule="auto" w:line="240" w:before="0" w:after="0"/>
      <w:jc w:val="center"/>
    </w:pPr>
    <w:rPr>
      <w:rFonts w:ascii="Cambria" w:hAnsi="Cambria"/>
      <w:b/>
      <w:sz w:val="32"/>
      <w:szCs w:val="20"/>
      <w:lang w:val="en-US" w:eastAsia="en-US"/>
    </w:rPr>
  </w:style>
  <w:style w:type="paragraph" w:styleId="Style23">
    <w:name w:val="Subtitle"/>
    <w:basedOn w:val="Normal"/>
    <w:next w:val="Normal"/>
    <w:link w:val="Style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Style14"/>
    <w:pPr>
      <w:tabs>
        <w:tab w:val="clear" w:pos="708"/>
        <w:tab w:val="center" w:pos="4677" w:leader="none"/>
        <w:tab w:val="right" w:pos="9355" w:leader="none"/>
      </w:tabs>
    </w:pPr>
    <w:rPr>
      <w:rFonts w:ascii="Tahoma" w:hAnsi="Tahoma"/>
      <w:sz w:val="20"/>
      <w:szCs w:val="20"/>
      <w:lang w:val="en-US" w:eastAsia="en-US"/>
    </w:rPr>
  </w:style>
  <w:style w:type="paragraph" w:styleId="Style27">
    <w:name w:val="Footnote Text"/>
    <w:basedOn w:val="Normal"/>
    <w:link w:val="Style7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8">
    <w:name w:val="Endnote Text"/>
    <w:basedOn w:val="Normal"/>
    <w:link w:val="Style10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9">
    <w:name w:val="Index Heading"/>
    <w:basedOn w:val="Style17"/>
    <w:pPr/>
    <w:rPr/>
  </w:style>
  <w:style w:type="paragraph" w:styleId="Style30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Courier New" w:hAnsi="Courier New" w:eastAsia="Cambria" w:cs="Cambria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ConsPlusTitle" w:customStyle="1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Cambria" w:cs="Cambria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Tahoma" w:hAnsi="Tahoma" w:eastAsia="Cambria" w:cs="Cambri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3"/>
    <w:semiHidden/>
    <w:qFormat/>
    <w:pPr>
      <w:spacing w:lineRule="auto" w:line="240" w:before="0" w:after="0"/>
    </w:pPr>
    <w:rPr>
      <w:rFonts w:ascii="Cambria Math" w:hAnsi="Cambria Math"/>
      <w:sz w:val="16"/>
      <w:szCs w:val="16"/>
      <w:lang w:val="en-US" w:eastAsia="en-US"/>
    </w:rPr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mfortaa" w:hAnsi="Comfortaa" w:eastAsia="Cambria" w:cs="Cambria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54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"/>
    <w:basedOn w:val="754"/>
  </w:style>
  <w:style w:type="table" w:customStyle="1" w:styleId="756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2F2F2" w:fill="F2F2F2" w:themeFill="text1" w:themeFillTint="0"/>
      </w:tcPr>
    </w:tblStylePr>
    <w:tblStylePr w:type="band1Vert">
      <w:tblPr/>
      <w:tcPr>
        <w:shd w:val="clear" w:color="F2F2F2" w:fill="F2F2F2" w:themeFill="text1" w:themeFillTint="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58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59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60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1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2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3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4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5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6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7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8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9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0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2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3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4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5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6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7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8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79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0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customStyle="1" w:styleId="782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3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84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85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86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87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88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89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styleId="790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8A8A8A" w:fill="8A8A8A" w:themeFill="text1" w:themeFillTint="75"/>
      </w:tcPr>
    </w:tblStylePr>
    <w:tblStylePr w:type="band1Vert">
      <w:tblPr/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</w:style>
  <w:style w:type="table" w:customStyle="1" w:styleId="79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EC4E0" w:fill="AEC4E0" w:themeFill="accent1" w:themeFillTint="75"/>
      </w:tcPr>
    </w:tblStylePr>
    <w:tblStylePr w:type="band1Vert">
      <w:tblPr/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792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2AEAD" w:fill="E2AEAD" w:themeFill="accent2" w:themeFillTint="75"/>
      </w:tcPr>
    </w:tblStylePr>
    <w:tblStylePr w:type="band1Vert">
      <w:tblPr/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</w:style>
  <w:style w:type="table" w:customStyle="1" w:styleId="793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0DFB2" w:fill="D0DFB2" w:themeFill="accent3" w:themeFillTint="75"/>
      </w:tcPr>
    </w:tblStylePr>
    <w:tblStylePr w:type="band1Vert">
      <w:tblPr/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</w:style>
  <w:style w:type="table" w:customStyle="1" w:styleId="794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C4B7D4" w:fill="C4B7D4" w:themeFill="accent4" w:themeFillTint="75"/>
      </w:tcPr>
    </w:tblStylePr>
    <w:tblStylePr w:type="band1Vert">
      <w:tblPr/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</w:style>
  <w:style w:type="table" w:customStyle="1" w:styleId="795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ACD8E4" w:fill="ACD8E4" w:themeFill="accent5" w:themeFillTint="7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</w:style>
  <w:style w:type="table" w:customStyle="1" w:styleId="796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BCEAA" w:fill="FBCEAA" w:themeFill="accent6" w:themeFillTint="75"/>
      </w:tcPr>
    </w:tblStylePr>
    <w:tblStylePr w:type="band1Vert">
      <w:tblPr/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</w:style>
  <w:style w:type="table" w:styleId="797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1Vert"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98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99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800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80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802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803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styleId="804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"/>
      </w:tcPr>
    </w:tblStylePr>
    <w:tblStylePr w:type="band1Vert">
      <w:tblPr/>
      <w:tcPr>
        <w:shd w:val="clear" w:color="F2F2F2" w:fill="F2F2F2" w:themeFill="text1" w:themeFillTint="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05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sz="4" w:space="0"/>
        </w:tcBorders>
        <w:shd w:val="clear" w:color="FFFFFF" w:fill="auto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A6BFDD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0" w:space="0"/>
          <w:left w:val="single" w:color="A6BFDD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06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D99695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single" w:color="D99695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07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sz="4" w:space="0"/>
        </w:tcBorders>
        <w:shd w:val="clear" w:color="FFFFFF" w:fill="auto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9ABB59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0" w:space="0"/>
          <w:left w:val="single" w:color="9ABB59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08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B2A1C6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single" w:color="B2A1C6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09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sz="4" w:space="0"/>
        </w:tcBorders>
        <w:shd w:val="clear" w:color="FFFFFF" w:fill="auto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99D0DE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0" w:space="0"/>
          <w:left w:val="single" w:color="99D0DE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10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sz="4" w:space="0"/>
        </w:tcBorders>
        <w:shd w:val="clear" w:color="FFFFFF" w:fill="auto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AC396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0" w:space="0"/>
          <w:left w:val="single" w:color="FAC396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styleId="811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2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3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4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5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6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817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819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820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82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822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823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824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25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6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7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8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29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0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32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3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4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5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6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7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38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839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0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2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3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4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45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styleId="846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47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48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49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50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5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52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styleId="853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sz="4" w:space="0"/>
        </w:tcBorders>
        <w:shd w:val="clear" w:color="FFFFFF" w:fill="auto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7F7F7F" w:themeColor="tex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0" w:space="0"/>
          <w:left w:val="single" w:color="7F7F7F" w:themeColor="tex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4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5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sz="4" w:space="0"/>
        </w:tcBorders>
        <w:shd w:val="clear" w:color="FFFFFF" w:fill="auto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D99695" w:themeColor="accent2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0" w:space="0"/>
          <w:left w:val="single" w:color="D99695" w:themeColor="accent2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6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sz="4" w:space="0"/>
        </w:tcBorders>
        <w:shd w:val="clear" w:color="FFFFFF" w:fill="auto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C3D69B" w:themeColor="accent3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0" w:space="0"/>
          <w:left w:val="single" w:color="C3D69B" w:themeColor="accent3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7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sz="4" w:space="0"/>
        </w:tcBorders>
        <w:shd w:val="clear" w:color="FFFFFF" w:fill="auto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B2A1C6" w:themeColor="accent4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0" w:space="0"/>
          <w:left w:val="single" w:color="B2A1C6" w:themeColor="accent4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8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sz="4" w:space="0"/>
        </w:tcBorders>
        <w:shd w:val="clear" w:color="FFFFFF" w:fill="auto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92CCDC" w:themeColor="accent5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0" w:space="0"/>
          <w:left w:val="single" w:color="92CCDC" w:themeColor="accent5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59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sz="4" w:space="0"/>
        </w:tcBorders>
        <w:shd w:val="clear" w:color="FFFFFF" w:fill="auto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0" w:space="0"/>
          <w:left w:val="none" w:color="000000" w:sz="0" w:space="0"/>
          <w:bottom w:val="single" w:color="FAC090" w:themeColor="accent6" w:sz="4" w:space="0"/>
          <w:right w:val="none" w:color="000000" w:sz="0" w:space="0"/>
        </w:tcBorders>
        <w:shd w:val="clear" w:color="FFFFFF" w:fill="FFFFFF" w:themeFill="light1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0" w:space="0"/>
          <w:left w:val="single" w:color="FAC090" w:themeColor="accent6" w:sz="4" w:space="0"/>
          <w:bottom w:val="none" w:color="000000" w:sz="0" w:space="0"/>
          <w:right w:val="none" w:color="000000" w:sz="0" w:space="0"/>
        </w:tcBorders>
        <w:shd w:val="clear" w:color="FFFFFF" w:fill="auto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0" w:space="0"/>
          <w:bottom w:val="none" w:color="000000" w:sz="0" w:space="0"/>
          <w:right w:val="none" w:color="000000" w:sz="0" w:space="0"/>
        </w:tcBorders>
        <w:shd w:val="clear" w:color="FFFFFF" w:fill="FFFFFF" w:themeFill="light1"/>
      </w:tcPr>
    </w:tblStylePr>
  </w:style>
  <w:style w:type="table" w:customStyle="1" w:styleId="860">
    <w:name w:val="Lined - Accent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61">
    <w:name w:val="Lined - Accent 1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62">
    <w:name w:val="Lined - Accent 2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63">
    <w:name w:val="Lined - Accent 3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64">
    <w:name w:val="Lined - Accent 4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65">
    <w:name w:val="Lined - Accent 5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66">
    <w:name w:val="Lined - Accent 6"/>
    <w:uiPriority w:val="99"/>
    <w:rPr>
      <w:lang w:eastAsia="ru-RU"/>
      <w:color w:val="404040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67">
    <w:name w:val="Bordered &amp; Lined - Accent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</w:style>
  <w:style w:type="table" w:customStyle="1" w:styleId="868">
    <w:name w:val="Bordered &amp; Lined - Accent 1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</w:style>
  <w:style w:type="table" w:customStyle="1" w:styleId="869">
    <w:name w:val="Bordered &amp; Lined - Accent 2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</w:style>
  <w:style w:type="table" w:customStyle="1" w:styleId="870">
    <w:name w:val="Bordered &amp; Lined - Accent 3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</w:style>
  <w:style w:type="table" w:customStyle="1" w:styleId="871">
    <w:name w:val="Bordered &amp; Lined - Accent 4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</w:style>
  <w:style w:type="table" w:customStyle="1" w:styleId="872">
    <w:name w:val="Bordered &amp; Lined - Accent 5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</w:style>
  <w:style w:type="table" w:customStyle="1" w:styleId="873">
    <w:name w:val="Bordered &amp; Lined - Accent 6"/>
    <w:uiPriority w:val="99"/>
    <w:rPr>
      <w:lang w:eastAsia="ru-RU"/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</w:style>
  <w:style w:type="table" w:customStyle="1" w:styleId="874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75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76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77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78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79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80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npaproject.kamgov.ru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LibreOffice/7.5.3.2$Windows_X86_64 LibreOffice_project/9f56dff12ba03b9acd7730a5a481eea045e468f3</Application>
  <AppVersion>15.0000</AppVersion>
  <Pages>3</Pages>
  <Words>931</Words>
  <Characters>6264</Characters>
  <CharactersWithSpaces>7192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2023-02-02T03:14:00Z</dcterms:created>
  <dc:creator>Головина Елена Степановна</dc:creator>
  <dc:description/>
  <dc:language>ru-RU</dc:language>
  <cp:lastModifiedBy/>
  <dcterms:modified xsi:type="dcterms:W3CDTF">2023-12-27T13:01:01Z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