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0"/>
      </w:tblGrid>
      <w:tr>
        <w:tc>
          <w:tcPr>
            <w:tcW w:type="dxa" w:w="97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E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</w:t>
            </w:r>
            <w:r>
              <w:rPr>
                <w:rFonts w:ascii="Times New Roman" w:hAnsi="Times New Roman"/>
                <w:b w:val="1"/>
                <w:sz w:val="28"/>
              </w:rPr>
              <w:t>остановление Правительства Камчатского края от 08.09.2014 № 376-П 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натуральных и денежных (средних денежных) норм обеспечения бесплатным питанием, бесплатным комплектом одежды, обуви и мягким инвентарем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</w:t>
            </w: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Законом Камчатского края от 23.11.2023 № 301 «</w:t>
      </w:r>
      <w:r>
        <w:rPr>
          <w:rFonts w:ascii="Times New Roman" w:hAnsi="Times New Roman"/>
          <w:sz w:val="28"/>
        </w:rPr>
        <w:t>О внесении изменений в отдельные законодательные акты Камчатского края»</w:t>
      </w:r>
    </w:p>
    <w:p w14:paraId="11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Внести в по</w:t>
      </w:r>
      <w:r>
        <w:rPr>
          <w:rFonts w:ascii="Times New Roman" w:hAnsi="Times New Roman"/>
          <w:b w:val="0"/>
          <w:color w:val="000000"/>
          <w:sz w:val="28"/>
        </w:rPr>
        <w:t xml:space="preserve">становление Правительства Камчатского края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от 08.09.2014 № 376-П «</w:t>
      </w:r>
      <w:r>
        <w:rPr>
          <w:rFonts w:ascii="Times New Roman" w:hAnsi="Times New Roman"/>
          <w:b w:val="0"/>
          <w:color w:val="000000"/>
          <w:sz w:val="28"/>
        </w:rPr>
        <w:t>Об утверждении натуральных и денежных (средних денежных) норм обеспечения бесплатным питанием, бесплатным комплектом одежды, обуви и мягким инвентарем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 следующие  изменения: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часть 2 примечания</w:t>
      </w:r>
      <w:r>
        <w:rPr>
          <w:rFonts w:ascii="Times New Roman" w:hAnsi="Times New Roman"/>
          <w:b w:val="0"/>
          <w:color w:val="000000"/>
          <w:sz w:val="28"/>
        </w:rPr>
        <w:t xml:space="preserve"> к приложению 1 после слов «обучающихся» дополнить словами </w:t>
      </w: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sz w:val="28"/>
        </w:rPr>
        <w:t>по образовательным программам основного общего, среднего общего образования,»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>2) в приложени</w:t>
      </w:r>
      <w:r>
        <w:rPr>
          <w:rFonts w:ascii="Times New Roman" w:hAnsi="Times New Roman"/>
          <w:b w:val="0"/>
          <w:color w:val="000000"/>
          <w:sz w:val="28"/>
        </w:rPr>
        <w:t>и 4: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>а) таблицу изложить в следующей редакции: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5"/>
        <w:gridCol w:w="2588"/>
        <w:gridCol w:w="2103"/>
        <w:gridCol w:w="2160"/>
        <w:gridCol w:w="2072"/>
      </w:tblGrid>
      <w:tr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Возрастная категория обучающихся (воспитанников)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Денежная норма обеспечения питанием одного обучающегося (воспитанника) в день, рублей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Денежная норма обеспечения питанием одного обучающегося (воспитанника) в день, увеличенная в каникулярные, выходные и праздничные дни на 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%, рублей</w:t>
            </w:r>
          </w:p>
        </w:tc>
        <w:tc>
          <w:tcPr>
            <w:tcW w:type="dxa" w:w="2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денежная норма обеспечения питанием одного обучающегося (воспитанника) в день, рублей</w:t>
            </w:r>
          </w:p>
        </w:tc>
      </w:tr>
      <w:tr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line="240" w:lineRule="auto"/>
              <w:ind w:hanging="113" w:lef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line="240" w:lineRule="auto"/>
              <w:ind w:hanging="113" w:lef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line="240" w:lineRule="auto"/>
              <w:ind w:hanging="113" w:lef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line="240" w:lineRule="auto"/>
              <w:ind w:hanging="113" w:lef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line="240" w:lineRule="auto"/>
              <w:ind w:hanging="113" w:lef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в возрасте от 12 до 18 месяцев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518,0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569,8</w:t>
            </w:r>
          </w:p>
        </w:tc>
        <w:tc>
          <w:tcPr>
            <w:tcW w:type="dxa" w:w="2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543,9</w:t>
            </w:r>
          </w:p>
        </w:tc>
      </w:tr>
      <w:tr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(воспитанники) в возрасте от 18 месяцев до 3 лет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720,8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792,9</w:t>
            </w:r>
          </w:p>
        </w:tc>
        <w:tc>
          <w:tcPr>
            <w:tcW w:type="dxa" w:w="2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756,8</w:t>
            </w:r>
          </w:p>
        </w:tc>
      </w:tr>
      <w:tr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(воспитанники) в возрасте от 3 до 7 лет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832,7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916,0</w:t>
            </w:r>
          </w:p>
        </w:tc>
        <w:tc>
          <w:tcPr>
            <w:tcW w:type="dxa" w:w="2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874,3</w:t>
            </w:r>
          </w:p>
        </w:tc>
      </w:tr>
      <w:tr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(воспитанники) в возрасте от 7 до 11 лет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1024,2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1126,6</w:t>
            </w:r>
          </w:p>
        </w:tc>
        <w:tc>
          <w:tcPr>
            <w:tcW w:type="dxa" w:w="2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1075,4</w:t>
            </w:r>
          </w:p>
        </w:tc>
      </w:tr>
      <w:tr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(воспитанники) в возрасте от 11 до 18 лет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1078,0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1185,8</w:t>
            </w:r>
          </w:p>
        </w:tc>
        <w:tc>
          <w:tcPr>
            <w:tcW w:type="dxa" w:w="2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1131,9</w:t>
            </w:r>
          </w:p>
        </w:tc>
      </w:tr>
    </w:tbl>
    <w:p w14:paraId="3D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б)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часть 2 примечания</w:t>
      </w:r>
      <w:r>
        <w:rPr>
          <w:rFonts w:ascii="Times New Roman" w:hAnsi="Times New Roman"/>
          <w:b w:val="0"/>
          <w:color w:val="000000"/>
          <w:sz w:val="28"/>
        </w:rPr>
        <w:t xml:space="preserve"> дополнить словами </w:t>
      </w:r>
      <w:r>
        <w:rPr>
          <w:rFonts w:ascii="Times New Roman" w:hAnsi="Times New Roman"/>
          <w:b w:val="0"/>
          <w:color w:val="000000"/>
          <w:sz w:val="28"/>
        </w:rPr>
        <w:t xml:space="preserve">«обучающихся, </w:t>
      </w:r>
      <w:r>
        <w:rPr>
          <w:rFonts w:ascii="Times New Roman" w:hAnsi="Times New Roman"/>
          <w:b w:val="0"/>
          <w:sz w:val="28"/>
        </w:rPr>
        <w:t xml:space="preserve">по образовательным программам основного общего, среднего общего образования </w:t>
      </w:r>
      <w:r>
        <w:rPr>
          <w:rFonts w:ascii="Times New Roman" w:hAnsi="Times New Roman"/>
          <w:b w:val="0"/>
          <w:sz w:val="28"/>
        </w:rPr>
        <w:t>за счет средств краевого бюджета или местных бюджетов (до завершения обучения по таким образовательным программам)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3F000000">
      <w:pPr>
        <w:spacing w:after="0" w:line="240" w:lineRule="auto"/>
        <w:ind w:hanging="11" w:left="72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приложении 5:</w:t>
      </w:r>
    </w:p>
    <w:p w14:paraId="40000000">
      <w:pPr>
        <w:spacing w:after="0" w:line="240" w:lineRule="auto"/>
        <w:ind w:hanging="11" w:left="72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таблицу изложить в следующей редакции: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8"/>
        <w:gridCol w:w="6188"/>
        <w:gridCol w:w="2792"/>
      </w:tblGrid>
      <w:tr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п/п</w:t>
            </w:r>
          </w:p>
        </w:tc>
        <w:tc>
          <w:tcPr>
            <w:tcW w:type="dxa" w:w="6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Возрастная категория обучающихся (воспитанников)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годовая денежная норма обеспечения бесплатным комплектом одежды, обуви и мягким инвентарем одного обучающегося (воспитанника) в год, рублей</w:t>
            </w:r>
          </w:p>
        </w:tc>
      </w:tr>
      <w:tr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 в возрасте от 12 до 18 месяцев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84 281,27</w:t>
            </w:r>
          </w:p>
        </w:tc>
      </w:tr>
      <w:tr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(воспитанники) в возрасте от 18 месяцев до 3 лет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84 281,27</w:t>
            </w:r>
          </w:p>
        </w:tc>
      </w:tr>
      <w:tr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(воспитанники) в возрасте от 3 до 7 лет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84 281,27</w:t>
            </w:r>
          </w:p>
        </w:tc>
      </w:tr>
      <w:tr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6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(воспитанники) в возрасте от 7 до 11 лет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116 713,53</w:t>
            </w:r>
          </w:p>
        </w:tc>
      </w:tr>
      <w:tr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6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(воспитанники) в возрасте от 11 до 18 лет</w:t>
            </w:r>
          </w:p>
        </w:tc>
        <w:tc>
          <w:tcPr>
            <w:tcW w:type="dxa" w:w="2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116 713,53</w:t>
            </w:r>
          </w:p>
        </w:tc>
      </w:tr>
    </w:tbl>
    <w:p w14:paraId="57000000">
      <w:pPr>
        <w:spacing w:after="0" w:line="240" w:lineRule="auto"/>
        <w:ind w:firstLine="709" w:left="0"/>
        <w:jc w:val="righ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б)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часть 2 примечания</w:t>
      </w:r>
      <w:r>
        <w:rPr>
          <w:rFonts w:ascii="Times New Roman" w:hAnsi="Times New Roman"/>
          <w:b w:val="0"/>
          <w:color w:val="000000"/>
          <w:sz w:val="28"/>
        </w:rPr>
        <w:t xml:space="preserve"> дополнить словами </w:t>
      </w:r>
      <w:r>
        <w:rPr>
          <w:rFonts w:ascii="Times New Roman" w:hAnsi="Times New Roman"/>
          <w:b w:val="0"/>
          <w:color w:val="000000"/>
          <w:sz w:val="28"/>
        </w:rPr>
        <w:t xml:space="preserve">«обучающихся, </w:t>
      </w:r>
      <w:r>
        <w:rPr>
          <w:rFonts w:ascii="Times New Roman" w:hAnsi="Times New Roman"/>
          <w:b w:val="0"/>
          <w:sz w:val="28"/>
        </w:rPr>
        <w:t xml:space="preserve">по образовательным программам основного общего, среднего общего образования </w:t>
      </w:r>
      <w:r>
        <w:rPr>
          <w:rFonts w:ascii="Times New Roman" w:hAnsi="Times New Roman"/>
          <w:b w:val="0"/>
          <w:sz w:val="28"/>
        </w:rPr>
        <w:t>за счет средств краевого бюджета или местных бюджетов (до завершения обучения по таким образовательным программам)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4"/>
        </w:rPr>
        <w:t>.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</w:rPr>
        <w:t>после</w:t>
      </w:r>
      <w:r>
        <w:rPr>
          <w:rFonts w:ascii="Times New Roman" w:hAnsi="Times New Roman"/>
          <w:sz w:val="28"/>
        </w:rPr>
        <w:t xml:space="preserve">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sz w:val="28"/>
        </w:rPr>
        <w:t>официального опубликования</w:t>
      </w:r>
      <w:r>
        <w:rPr>
          <w:rFonts w:ascii="Times New Roman" w:hAnsi="Times New Roman"/>
          <w:b w:val="0"/>
          <w:sz w:val="28"/>
        </w:rPr>
        <w:t xml:space="preserve"> и распространяется на правоотношения, возникшие с 1 декабря 2023 года.</w:t>
      </w:r>
    </w:p>
    <w:p w14:paraId="5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5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5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5F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6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6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62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63000000">
      <w:pPr>
        <w:spacing w:after="0" w:line="276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64000000">
      <w:pPr>
        <w:ind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822" w:footer="709" w:gutter="0" w:header="709" w:left="1418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er"/>
    <w:basedOn w:val="Style_3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3_ch"/>
    <w:link w:val="Style_14"/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3_ch"/>
    <w:link w:val="Style_22"/>
    <w:rPr>
      <w:rFonts w:ascii="Segoe UI" w:hAnsi="Segoe UI"/>
      <w:sz w:val="18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Гиперссылка1"/>
    <w:basedOn w:val="Style_8"/>
    <w:link w:val="Style_24_ch"/>
    <w:rPr>
      <w:color w:themeColor="hyperlink" w:val="0563C1"/>
      <w:u w:val="single"/>
    </w:rPr>
  </w:style>
  <w:style w:styleId="Style_24_ch" w:type="character">
    <w:name w:val="Гиперссылка1"/>
    <w:basedOn w:val="Style_8_ch"/>
    <w:link w:val="Style_24"/>
    <w:rPr>
      <w:color w:themeColor="hyperlink" w:val="0563C1"/>
      <w:u w:val="single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footer"/>
    <w:basedOn w:val="Style_3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7_ch" w:type="character">
    <w:name w:val="footer"/>
    <w:basedOn w:val="Style_3_ch"/>
    <w:link w:val="Style_27"/>
    <w:rPr>
      <w:rFonts w:ascii="Times New Roman" w:hAnsi="Times New Roman"/>
      <w:sz w:val="28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Plain Text"/>
    <w:basedOn w:val="Style_3"/>
    <w:link w:val="Style_31_ch"/>
    <w:pPr>
      <w:spacing w:after="0" w:line="240" w:lineRule="auto"/>
      <w:ind/>
    </w:pPr>
    <w:rPr>
      <w:rFonts w:ascii="Calibri" w:hAnsi="Calibri"/>
    </w:rPr>
  </w:style>
  <w:style w:styleId="Style_31_ch" w:type="character">
    <w:name w:val="Plain Text"/>
    <w:basedOn w:val="Style_3_ch"/>
    <w:link w:val="Style_31"/>
    <w:rPr>
      <w:rFonts w:ascii="Calibri" w:hAnsi="Calibri"/>
    </w:r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2023-12-18T06:56:02Z</dcterms:modified>
</cp:coreProperties>
</file>