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6"/>
        <w:ind w:left="720"/>
        <w:jc w:val="center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Минэкономразвития напоминает предпринимателям о мерах господдержки и правах при госконтроле</w:t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Ежегодно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26 мая отмечается День российского предпринимательства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установленный Указом Президента России. 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Минэкономразвития России считает важным в этот праз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дник напомнить о мерах, которые помогают развитию предпринимательства, способствуют созданию более комфортной среды для работы малого, среднего и крупного бизнеса в России. Этому посвящена специальная серия видеороликов министерства, созданная при участии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центра институционального развития контрольной (надзорной) деятельности Фонда «ЦСР», о правах бизнесменов при госконтроле и актуальных мерах государственной поддержки, действующих в 2023 году для бизнеса. 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серию вошли три ролика: «ПРОВЕРКИ: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ПРОСТО О ГЛАВНОМ» рассказывает </w:t>
        <w:br/>
        <w:t xml:space="preserve">о правах предпринимателя при проведении проверок, «ПРЕДПРИНИМАТЕЛЮ </w:t>
        <w:br/>
        <w:t xml:space="preserve">О ПРЕДОСТЕРЕЖЕНИИ» — о правах предпринимателей в случае получения предостережения, третий ролик дает обзор действующих мер государственной поддержки бизнеса.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Общий хронометраж трех роликов составляет 8 минут. За это время предприниматель сможет ознакомиться с алгоритмами действий после получения уведомлен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ия о проведении проверки или предостережения от контрольного органа, узнает, что бизнесмену следует делать при несогласии с предостережением, как именно будет проходить проверка, действие каких документов продлено автоматически на 2023 год и многое другое.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*Минэкономразвития рекомендует органам исполнительной власти поддержать публикацию полезных социальных роликов и присоединяться к сообществу </w:t>
        <w:br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Телеграм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-канала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«</w:t>
      </w:r>
      <w:hyperlink r:id="rId8" w:tooltip="https://t.me/masterskaya_knd" w:history="1">
        <w:r>
          <w:rPr>
            <w:rStyle w:val="643"/>
            <w:rFonts w:ascii="Times New Roman" w:hAnsi="Times New Roman"/>
            <w:color w:val="000000" w:themeColor="text1"/>
            <w:sz w:val="24"/>
            <w:szCs w:val="24"/>
            <w:highlight w:val="white"/>
            <w:u w:val="none"/>
          </w:rPr>
          <w:t xml:space="preserve">Мастерская контроля</w:t>
        </w:r>
        <w:r>
          <w:rPr>
            <w:rStyle w:val="643"/>
            <w:rFonts w:ascii="Times New Roman" w:hAnsi="Times New Roman"/>
            <w:color w:val="000000" w:themeColor="text1"/>
            <w:sz w:val="24"/>
            <w:szCs w:val="24"/>
            <w:highlight w:val="none"/>
            <w:u w:val="none"/>
          </w:rPr>
          <w:t xml:space="preserve">»</w:t>
        </w:r>
      </w:hyperlink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обсуждения лучших практик в сфере контроля (надзора). 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 размещении видеороликов можно также использовать справочную информацию </w:t>
        <w:br/>
        <w:t xml:space="preserve">о проверках, профилактических мероприятиях и мерах государственной поддержки.  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XO Thames" w:hAnsi="XO Thames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t xml:space="preserve">О проверках</w:t>
      </w:r>
      <w:r>
        <w:rPr>
          <w:rFonts w:ascii="XO Thames" w:hAnsi="XO Thames"/>
          <w:color w:val="000000" w:themeColor="text1"/>
          <w:sz w:val="24"/>
          <w:szCs w:val="24"/>
          <w:u w:val="single"/>
        </w:rPr>
        <w:t xml:space="preserve"> </w:t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Правительство России отменило плановые проверки до 2030 года. Мораторий 2022 года показал свою эффективность, количество проверок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в России по сравнению с 2019 годом сократилось в 4,5 раза. Если в 2019 году насчитывалось 1,5 млн проверочных мероприятий, то в 2022 году было проведено лишь около 340 тыс. Минэкономразвития России напоминает, что внеплановые проверки в 2023 году сохранят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ся, но подчинятся логике риск-ориентированного подхода. Проводить их теперь контрольным органам можно только на основании индикаторов риска нарушения обязательных требований — признаков того, что на объекте контроля с высокой долей вероятности допущены или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могут быть допущены нарушения. Несмотря на то, что проверки уступили место профилактическим мероприятиям – профилактических визитов за 2022 год проведено в 1,7 раза больше, чем проверок – предприниматель может столкнуться с ситуацией, когда через портал «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Госуслуги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» пришло уведомления о проведении проверки. Узнать о правах предпринимателя при проверке поможет видеоролик Минэкономразвития России.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XO Thames" w:hAnsi="XO Thames"/>
          <w:color w:val="000000" w:themeColor="text1"/>
          <w:sz w:val="24"/>
          <w:szCs w:val="24"/>
        </w:rPr>
      </w:pPr>
      <w:r>
        <w:rPr>
          <w:rFonts w:ascii="XO Thames" w:hAnsi="XO Thames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t xml:space="preserve">О профилактических мероприятиях (профилактических визитах и предостережениях) </w:t>
      </w:r>
      <w:r>
        <w:rPr>
          <w:color w:val="000000" w:themeColor="text1"/>
          <w:sz w:val="24"/>
          <w:szCs w:val="24"/>
        </w:rPr>
      </w:r>
    </w:p>
    <w:p>
      <w:pPr>
        <w:pStyle w:val="626"/>
        <w:ind w:firstLine="360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Одна из наиболее заметных тенденций 2022 года — стремительный рост использования инструментов профилактики после введения моратория на проверки, в том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числе профилактических визитов. По итогам 2022 года впервые количество профилактических визитов превысило количество проверок: за год профилактических визитов проведено в 1,7 раза больше, чем проверок.</w:t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Наряду с профилактическими визитами контрольные органы используют еще один профи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лактический инструмент — объявление предостережения. Предостережение – это вид профилактического мероприятия по информированию предпринимателя о возможных или незначительных нарушениях обязательных требований, одна из мер реагирования контрольного органа. </w:t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Профилактические визиты и предостережения как инструменты профилактики использовались в 2022 году в большинстве регионов страны. При этом на предостережения пришлось 72 % от всех пр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офилактических мероприятий за 2022 год. На практике у предпринимателей больше шансов получить предостережение, чем столкнуться с проверкой, стоит знать о своих правах при объявлении предостережения. Подробнее об этом в видеоролике Минэкономразвития России.</w:t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color w:val="000000" w:themeColor="text1"/>
          <w:sz w:val="24"/>
          <w:szCs w:val="24"/>
        </w:rPr>
      </w:pPr>
      <w:r>
        <w:rPr>
          <w:rFonts w:ascii="XO Thames" w:hAnsi="XO Thames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b/>
          <w:i/>
          <w:color w:val="000000" w:themeColor="text1"/>
          <w:sz w:val="24"/>
          <w:szCs w:val="24"/>
          <w:u w:val="single"/>
        </w:rPr>
      </w:pPr>
      <w:r>
        <w:rPr>
          <w:rFonts w:ascii="XO Thames" w:hAnsi="XO Thames"/>
          <w:i/>
          <w:color w:val="000000" w:themeColor="text1"/>
          <w:sz w:val="24"/>
          <w:szCs w:val="24"/>
          <w:u w:val="single"/>
        </w:rPr>
        <w:t xml:space="preserve">О мерах государственной поддержки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1.</w:t>
      </w:r>
      <w:r>
        <w:rPr>
          <w:rFonts w:ascii="XO Thames" w:hAnsi="XO Thames"/>
          <w:i/>
          <w:color w:val="000000" w:themeColor="text1"/>
          <w:sz w:val="24"/>
          <w:szCs w:val="24"/>
        </w:rPr>
        <w:tab/>
        <w:t xml:space="preserve">Разрешительная деятельность и лицензирование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- Продление на 12 месяцев отдельных срочных разрешений, сроки действия которых истекают в 2023 году (например, лицензии на теле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визионное вещание, радиовещание, разрешения на судовые радиостанции, отдельные виды санитарно-эпидемиологических заключений, аккредитация частных агентств занятости на право осуществления деятельности по предоставлению труда работников (персонала) и иные).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- Право ведомств принимать решения, упрощающ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ие для бизнеса разрешительные процедуры (например, в части сокращения срока предоставления разрешения, перечня документов и сведений, подаваемых для целей получения разрешения, сокращения перечня обязательных требований, в том числе лицензионных, и т. д.).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- Не требуется переоформлять разрешения в случае переименования юр. лица, изменения наименования географического объекта.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- Не требуется оплата гос. пошлин в рамках лицензирования.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- Некоторые особенности разрешительной деятельности в отдель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ных сферах (например, ускоренная регистрации лекарственных средств для ветеринарного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применения и кормовых добавок, сокращение перечня документов, подаваемых для целей получения лицензии на осуществление деятельности в области оказания услуг связи и иные).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* более подробно можно посмотреть какие изменения были внесены постановлением Правите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льства РФ от 23.01.2023 N 63 "О внесении изменений в постановление Правительства Российской Федерации от 12 марта 2022 г. N 353 и признании утратившим силу отдельного положения постановления Правительства Российской Федерации от 12 сентября 2022 г. N 1589"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2.</w:t>
      </w:r>
      <w:r>
        <w:rPr>
          <w:rFonts w:ascii="XO Thames" w:hAnsi="XO Thames"/>
          <w:i/>
          <w:color w:val="000000" w:themeColor="text1"/>
          <w:sz w:val="24"/>
          <w:szCs w:val="24"/>
        </w:rPr>
        <w:tab/>
        <w:t xml:space="preserve">Мораторий на проверки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соответствии с поручением Президента, данного по итогам Петербургского международного экономического форума в июле 2022 года, был принят ряд изменений в постановление Правительства № 336.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2023 году проведение плановых проверок ограничено только объектами контроля, отнесенными к категориям чрезвычайно высокого и высокого риска. 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При этом в отношении государственных и муниципальных школ и детских садов плановые проверки заменены на профилактические визиты, от проведения которых нельзя отказаться. В рамках такого визита можно провести контр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ольные действия (отобрать пробы и прочее), выдать предписание, но нельзя оштрафовать. Контролер имеет возможность комплексно оценить школу либо детский сад, при необходимости принять меры реагирования, но сохранить средства для развития такого учреждения. 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Практически в полном объеме продлены на 2023 год ограничения на внеплановые проверки – подход изменился только в части проверок по индикаторам риска как ключ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евого элемента риск-ориентированного подхода. Так, теперь можно провести проверку при выявлении любого индикатора риска – в 2022 году проверка допускалась только в случае, если выявленный индикатор риска сопряжен с непосредственной угрозой жизни граждан.  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3.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Упрощение оценки соответствия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bookmarkStart w:id="0" w:name="_GoBack"/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Продлена до 1 сентября 2023 г. возможность оформления «упрощенных» деклараций </w:t>
      </w:r>
      <w:r>
        <w:rPr>
          <w:rFonts w:ascii="XO Thames" w:hAnsi="XO Thames"/>
          <w:i/>
          <w:color w:val="000000" w:themeColor="text1"/>
          <w:sz w:val="24"/>
          <w:szCs w:val="24"/>
        </w:rPr>
        <w:br/>
        <w:t xml:space="preserve">о соответствии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продукции на основании доказательств ее безопасности, имеющихся у импортера, производителя, поставщика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(п.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6 Приложения № 18 к постановлению Правительства Российской Федерации от 12 марта 2022 г. .№ 353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)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color w:val="000000" w:themeColor="text1"/>
          <w:highlight w:val="none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Продолжает действовать упрощенный порядок ввоза продукции на территорию Российской Федерации, в том числе в части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возможности для импортеров не подтверждать таможенным органам право на использование документа об оценке соответствия продукции (декларации о соответствии или сертификата).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</w:t>
      </w:r>
      <w:bookmarkEnd w:id="0"/>
      <w:r>
        <w:rPr>
          <w:color w:val="000000" w:themeColor="text1"/>
        </w:rPr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bCs/>
          <w:i/>
          <w:color w:val="000000" w:themeColor="text1"/>
          <w:sz w:val="24"/>
          <w:szCs w:val="24"/>
        </w:rPr>
      </w:pP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4. Аккредитация в национальной системе аккредитации 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2022 и 2023 года упрощены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процедуры аккредитации и подтверждения компетентности аккредитованных лиц, в том числе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путем проведения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выездных оценок в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удаленно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м формате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</w:r>
    </w:p>
    <w:p>
      <w:pPr>
        <w:pStyle w:val="626"/>
        <w:jc w:val="both"/>
        <w:spacing w:line="276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  <w:t xml:space="preserve">Также лабораториям предоставляется возможность расширения области аккредитации в ускоренном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режиме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. Срок процедуры сокращен до 30 рабочих дней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(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фактически 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в среднем услуга оказывается за 15 рабочих дней).</w:t>
      </w:r>
      <w:r>
        <w:rPr>
          <w:rFonts w:ascii="XO Thames" w:hAnsi="XO Thames"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</w:r>
    </w:p>
    <w:p>
      <w:pPr>
        <w:jc w:val="both"/>
        <w:spacing w:before="240" w:after="240" w:line="240" w:lineRule="auto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XO Thames" w:hAnsi="XO Thames"/>
          <w:i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tham pro black">
    <w:panose1 w:val="05040102010807070707"/>
  </w:font>
  <w:font w:name="xo thames">
    <w:panose1 w:val="05040102010807070707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4"/>
    <w:link w:val="59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4"/>
    <w:link w:val="60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04"/>
    <w:link w:val="60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04"/>
    <w:link w:val="60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04"/>
    <w:link w:val="603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character" w:styleId="34">
    <w:name w:val="Title Char"/>
    <w:basedOn w:val="604"/>
    <w:link w:val="652"/>
    <w:uiPriority w:val="10"/>
    <w:rPr>
      <w:sz w:val="48"/>
      <w:szCs w:val="48"/>
    </w:rPr>
  </w:style>
  <w:style w:type="character" w:styleId="36">
    <w:name w:val="Subtitle Char"/>
    <w:basedOn w:val="604"/>
    <w:link w:val="650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04"/>
    <w:link w:val="655"/>
    <w:uiPriority w:val="99"/>
  </w:style>
  <w:style w:type="character" w:styleId="44">
    <w:name w:val="Footer Char"/>
    <w:basedOn w:val="604"/>
    <w:link w:val="658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8"/>
    <w:uiPriority w:val="99"/>
  </w:style>
  <w:style w:type="table" w:styleId="47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8f8f8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8f8f8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8f8f8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e0e0e0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1d1d1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6969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b2b2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8f8f8" w:themeFill="accent1" w:themeFillTint="34"/>
    </w:tblPr>
    <w:tblStylePr w:type="band1Horz">
      <w:tcPr>
        <w:shd w:val="clear" w:color="ffffff" w:themeColor="accent1" w:themeTint="75" w:fill="efefef" w:themeFill="accent1" w:themeFillTint="75"/>
      </w:tcPr>
    </w:tblStylePr>
    <w:tblStylePr w:type="band1Vert">
      <w:tcPr>
        <w:shd w:val="clear" w:color="ffffff" w:themeColor="accent1" w:themeTint="75" w:fill="efefe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0f0f0" w:themeFill="accent2" w:themeFillTint="32"/>
    </w:tblPr>
    <w:tblStylePr w:type="band1Horz">
      <w:tcPr>
        <w:shd w:val="clear" w:color="ffffff" w:themeColor="accent2" w:themeTint="75" w:fill="dcdcdc" w:themeFill="accent2" w:themeFillTint="75"/>
      </w:tcPr>
    </w:tblStylePr>
    <w:tblStylePr w:type="band1Vert">
      <w:tcPr>
        <w:shd w:val="clear" w:color="ffffff" w:themeColor="accent2" w:themeTint="75" w:fill="dcdcd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eaea" w:themeFill="accent3" w:themeFillTint="34"/>
    </w:tblPr>
    <w:tblStylePr w:type="band1Horz">
      <w:tcPr>
        <w:shd w:val="clear" w:color="ffffff" w:themeColor="accent3" w:themeTint="75" w:fill="cfcfcf" w:themeFill="accent3" w:themeFillTint="75"/>
      </w:tcPr>
    </w:tblStylePr>
    <w:tblStylePr w:type="band1Vert">
      <w:tcPr>
        <w:shd w:val="clear" w:color="ffffff" w:themeColor="accent3" w:themeTint="75" w:fill="cfcfc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e5e5" w:themeFill="accent4" w:themeFillTint="34"/>
    </w:tblPr>
    <w:tblStylePr w:type="band1Horz">
      <w:tcPr>
        <w:shd w:val="clear" w:color="ffffff" w:themeColor="accent4" w:themeTint="75" w:fill="c5c5c5" w:themeFill="accent4" w:themeFillTint="75"/>
      </w:tcPr>
    </w:tblStylePr>
    <w:tblStylePr w:type="band1Vert">
      <w:tcPr>
        <w:shd w:val="clear" w:color="ffffff" w:themeColor="accent4" w:themeTint="75" w:fill="c5c5c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dede" w:themeFill="accent5" w:themeFillTint="34"/>
    </w:tblPr>
    <w:tblStylePr w:type="band1Horz">
      <w:tcPr>
        <w:shd w:val="clear" w:color="ffffff" w:themeColor="accent5" w:themeTint="75" w:fill="b6b6b6" w:themeFill="accent5" w:themeFillTint="75"/>
      </w:tcPr>
    </w:tblStylePr>
    <w:tblStylePr w:type="band1Vert">
      <w:tcPr>
        <w:shd w:val="clear" w:color="ffffff" w:themeColor="accent5" w:themeTint="75" w:fill="b6b6b6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bdbdb" w:themeFill="accent6" w:themeFillTint="34"/>
    </w:tblPr>
    <w:tblStylePr w:type="band1Horz">
      <w:tcPr>
        <w:shd w:val="clear" w:color="ffffff" w:themeColor="accent6" w:themeTint="75" w:fill="adadad" w:themeFill="accent6" w:themeFillTint="75"/>
      </w:tcPr>
    </w:tblStylePr>
    <w:tblStylePr w:type="band1Vert">
      <w:tcPr>
        <w:shd w:val="clear" w:color="ffffff" w:themeColor="accent6" w:themeTint="75" w:fill="adadad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tcPr>
        <w:shd w:val="clear" w:color="ffffff" w:themeColor="accent1" w:themeTint="34" w:fill="f8f8f8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8b8b8b" w:themeColor="accent1" w:themeTint="80" w:themeShade="95"/>
      </w:rPr>
    </w:tblStylePr>
    <w:tblStylePr w:type="firstRow">
      <w:rPr>
        <w:b/>
        <w:color w:val="8b8b8b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8b8b8b" w:themeColor="accent1" w:themeTint="80" w:themeShade="95"/>
      </w:rPr>
    </w:tblStylePr>
    <w:tblStylePr w:type="lastRow">
      <w:rPr>
        <w:b/>
        <w:color w:val="8b8b8b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tcPr>
        <w:shd w:val="clear" w:color="ffffff" w:themeColor="accent2" w:themeTint="32" w:fill="f0f0f0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tcPr>
        <w:shd w:val="clear" w:color="ffffff" w:themeColor="accent3" w:themeTint="34" w:fill="eaeae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85858" w:themeColor="accent3" w:themeTint="FE" w:themeShade="95"/>
      </w:rPr>
    </w:tblStylePr>
    <w:tblStylePr w:type="firstRow">
      <w:rPr>
        <w:b/>
        <w:color w:val="585858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85858" w:themeColor="accent3" w:themeTint="FE" w:themeShade="95"/>
      </w:rPr>
    </w:tblStylePr>
    <w:tblStylePr w:type="lastRow">
      <w:rPr>
        <w:b/>
        <w:color w:val="585858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tcPr>
        <w:shd w:val="clear" w:color="ffffff" w:themeColor="accent4" w:themeTint="34" w:fill="e5e5e5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tcPr>
        <w:shd w:val="clear" w:color="ffffff" w:themeColor="accent5" w:themeTint="34" w:fill="dedede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tcPr>
        <w:shd w:val="clear" w:color="ffffff" w:themeColor="accent6" w:themeTint="34" w:fill="dbdbdb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383838" w:themeColor="accent5" w:themeShade="95"/>
      </w:rPr>
    </w:tblStylePr>
    <w:tblStylePr w:type="firstRow">
      <w:rPr>
        <w:b/>
        <w:color w:val="383838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383838" w:themeColor="accent5" w:themeShade="95"/>
      </w:rPr>
    </w:tblStylePr>
    <w:tblStylePr w:type="lastRow">
      <w:rPr>
        <w:b/>
        <w:color w:val="383838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8b8b8b" w:themeColor="accent1" w:themeTint="80" w:themeShade="95"/>
        <w:sz w:val="22"/>
      </w:rPr>
      <w:tcPr>
        <w:shd w:val="clear" w:color="ffffff" w:themeColor="accent1" w:themeTint="34" w:fill="f8f8f8" w:themeFill="accent1" w:themeFillTint="34"/>
      </w:tcPr>
    </w:tblStylePr>
    <w:tblStylePr w:type="band1Vert">
      <w:tcPr>
        <w:shd w:val="clear" w:color="ffffff" w:themeColor="accent1" w:themeTint="34" w:fill="f8f8f8" w:themeFill="accent1" w:themeFillTint="34"/>
      </w:tcPr>
    </w:tblStylePr>
    <w:tblStylePr w:type="band2Horz">
      <w:rPr>
        <w:rFonts w:ascii="Arial" w:hAnsi="Arial"/>
        <w:color w:val="8b8b8b" w:themeColor="accent1" w:themeTint="80" w:themeShade="95"/>
        <w:sz w:val="22"/>
      </w:rPr>
    </w:tblStylePr>
    <w:tblStylePr w:type="firstCol">
      <w:rPr>
        <w:rFonts w:ascii="Arial" w:hAnsi="Arial"/>
        <w:i/>
        <w:color w:val="8b8b8b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8b8b8b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8b8b8b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b8b8b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ffffff" w:themeColor="accent2" w:themeTint="32" w:fill="f0f0f0" w:themeFill="accent2" w:themeFillTint="32"/>
      </w:tcPr>
    </w:tblStylePr>
    <w:tblStylePr w:type="band1Vert">
      <w:tcPr>
        <w:shd w:val="clear" w:color="ffffff" w:themeColor="accent2" w:themeTint="32" w:fill="f0f0f0" w:themeFill="accent2" w:themeFillTint="32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85858" w:themeColor="accent3" w:themeTint="FE" w:themeShade="95"/>
        <w:sz w:val="22"/>
      </w:rPr>
      <w:tcPr>
        <w:shd w:val="clear" w:color="ffffff" w:themeColor="accent3" w:themeTint="34" w:fill="eaeaea" w:themeFill="accent3" w:themeFillTint="34"/>
      </w:tcPr>
    </w:tblStylePr>
    <w:tblStylePr w:type="band1Vert">
      <w:tcPr>
        <w:shd w:val="clear" w:color="ffffff" w:themeColor="accent3" w:themeTint="34" w:fill="eaeaea" w:themeFill="accent3" w:themeFillTint="34"/>
      </w:tcPr>
    </w:tblStylePr>
    <w:tblStylePr w:type="band2Horz">
      <w:rPr>
        <w:rFonts w:ascii="Arial" w:hAnsi="Arial"/>
        <w:color w:val="585858" w:themeColor="accent3" w:themeTint="FE" w:themeShade="95"/>
        <w:sz w:val="22"/>
      </w:rPr>
    </w:tblStylePr>
    <w:tblStylePr w:type="firstCol">
      <w:rPr>
        <w:rFonts w:ascii="Arial" w:hAnsi="Arial"/>
        <w:i/>
        <w:color w:val="585858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85858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85858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85858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ffffff" w:themeColor="accent4" w:themeTint="34" w:fill="e5e5e5" w:themeFill="accent4" w:themeFillTint="34"/>
      </w:tcPr>
    </w:tblStylePr>
    <w:tblStylePr w:type="band1Vert">
      <w:tcPr>
        <w:shd w:val="clear" w:color="ffffff" w:themeColor="accent4" w:themeTint="34" w:fill="e5e5e5" w:themeFill="accent4" w:themeFillTint="34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383838" w:themeColor="accent5" w:themeShade="95"/>
        <w:sz w:val="22"/>
      </w:rPr>
      <w:tcPr>
        <w:shd w:val="clear" w:color="ffffff" w:themeColor="accent5" w:themeTint="34" w:fill="dedede" w:themeFill="accent5" w:themeFillTint="34"/>
      </w:tcPr>
    </w:tblStylePr>
    <w:tblStylePr w:type="band1Vert">
      <w:tcPr>
        <w:shd w:val="clear" w:color="ffffff" w:themeColor="accent5" w:themeTint="34" w:fill="dedede" w:themeFill="accent5" w:themeFillTint="34"/>
      </w:tcPr>
    </w:tblStylePr>
    <w:tblStylePr w:type="band2Horz">
      <w:rPr>
        <w:rFonts w:ascii="Arial" w:hAnsi="Arial"/>
        <w:color w:val="383838" w:themeColor="accent5" w:themeShade="95"/>
        <w:sz w:val="22"/>
      </w:rPr>
    </w:tblStylePr>
    <w:tblStylePr w:type="firstCol">
      <w:rPr>
        <w:rFonts w:ascii="Arial" w:hAnsi="Arial"/>
        <w:i/>
        <w:color w:val="383838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383838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383838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83838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d2d2d" w:themeColor="accent6" w:themeShade="95"/>
        <w:sz w:val="22"/>
      </w:rPr>
      <w:tcPr>
        <w:shd w:val="clear" w:color="ffffff" w:themeColor="accent6" w:themeTint="34" w:fill="dbdbdb" w:themeFill="accent6" w:themeFillTint="34"/>
      </w:tcPr>
    </w:tblStylePr>
    <w:tblStylePr w:type="band1Vert">
      <w:tcPr>
        <w:shd w:val="clear" w:color="ffffff" w:themeColor="accent6" w:themeTint="34" w:fill="dbdbdb" w:themeFill="accent6" w:themeFillTint="34"/>
      </w:tcPr>
    </w:tblStylePr>
    <w:tblStylePr w:type="band2Horz">
      <w:rPr>
        <w:rFonts w:ascii="Arial" w:hAnsi="Arial"/>
        <w:color w:val="2d2d2d" w:themeColor="accent6" w:themeShade="95"/>
        <w:sz w:val="22"/>
      </w:rPr>
    </w:tblStylePr>
    <w:tblStylePr w:type="firstCol">
      <w:rPr>
        <w:rFonts w:ascii="Arial" w:hAnsi="Arial"/>
        <w:i/>
        <w:color w:val="2d2d2d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d2d2d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2d2d2d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d2d2d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0c0c0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e9e9e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59595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f6f6f6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ddddd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cecec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b2b2b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5e5e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6969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fd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808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7d7d7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f5f5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2d2d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d4d4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dddddd" w:themeFill="accent1"/>
    </w:tblPr>
    <w:tblStylePr w:type="band1Horz">
      <w:tcPr>
        <w:shd w:val="clear" w:color="ffffff" w:themeColor="accent1" w:fill="ddddd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ddddd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ddddd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ddddd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1d1d1" w:themeFill="accent2" w:themeFillTint="97"/>
    </w:tblPr>
    <w:tblStylePr w:type="band1Horz">
      <w:tcPr>
        <w:shd w:val="clear" w:color="ffffff" w:themeColor="accent2" w:themeTint="97" w:fill="d1d1d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1d1d1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1d1d1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1d1d1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0c0c0" w:themeFill="accent3" w:themeFillTint="98"/>
    </w:tblPr>
    <w:tblStylePr w:type="band1Horz">
      <w:tcPr>
        <w:shd w:val="clear" w:color="ffffff" w:themeColor="accent3" w:themeTint="98" w:fill="c0c0c0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0c0c0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0c0c0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0c0c0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b2b2" w:themeFill="accent4" w:themeFillTint="9A"/>
    </w:tblPr>
    <w:tblStylePr w:type="band1Horz">
      <w:tcPr>
        <w:shd w:val="clear" w:color="ffffff" w:themeColor="accent4" w:themeTint="9A" w:fill="b2b2b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b2b2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b2b2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b2b2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e9e9e" w:themeFill="accent5" w:themeFillTint="9A"/>
    </w:tblPr>
    <w:tblStylePr w:type="band1Horz">
      <w:tcPr>
        <w:shd w:val="clear" w:color="ffffff" w:themeColor="accent5" w:themeTint="9A" w:fill="9e9e9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e9e9e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e9e9e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e9e9e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59595" w:themeFill="accent6" w:themeFillTint="98"/>
    </w:tblPr>
    <w:tblStylePr w:type="band1Horz">
      <w:tcPr>
        <w:shd w:val="clear" w:color="ffffff" w:themeColor="accent6" w:themeTint="98" w:fill="959595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59595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59595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59595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818181" w:themeColor="accent1" w:themeShade="95"/>
      </w:rPr>
    </w:tblStylePr>
    <w:tblStylePr w:type="firstRow">
      <w:rPr>
        <w:b/>
        <w:color w:val="81818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818181" w:themeColor="accent1" w:themeShade="95"/>
      </w:rPr>
    </w:tblStylePr>
    <w:tblStylePr w:type="lastRow">
      <w:rPr>
        <w:b/>
        <w:color w:val="81818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7a7a7a" w:themeColor="accent2" w:themeTint="97" w:themeShade="95"/>
      </w:rPr>
    </w:tblStylePr>
    <w:tblStylePr w:type="firstRow">
      <w:rPr>
        <w:b/>
        <w:color w:val="7a7a7a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7a7a7a" w:themeColor="accent2" w:themeTint="97" w:themeShade="95"/>
      </w:rPr>
    </w:tblStylePr>
    <w:tblStylePr w:type="lastRow">
      <w:rPr>
        <w:b/>
        <w:color w:val="7a7a7a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07070" w:themeColor="accent3" w:themeTint="98" w:themeShade="95"/>
      </w:rPr>
    </w:tblStylePr>
    <w:tblStylePr w:type="firstRow">
      <w:rPr>
        <w:b/>
        <w:color w:val="707070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07070" w:themeColor="accent3" w:themeTint="98" w:themeShade="95"/>
      </w:rPr>
    </w:tblStylePr>
    <w:tblStylePr w:type="lastRow">
      <w:rPr>
        <w:b/>
        <w:color w:val="707070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86868" w:themeColor="accent4" w:themeTint="9A" w:themeShade="95"/>
      </w:rPr>
    </w:tblStylePr>
    <w:tblStylePr w:type="firstRow">
      <w:rPr>
        <w:b/>
        <w:color w:val="68686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86868" w:themeColor="accent4" w:themeTint="9A" w:themeShade="95"/>
      </w:rPr>
    </w:tblStylePr>
    <w:tblStylePr w:type="lastRow">
      <w:rPr>
        <w:b/>
        <w:color w:val="68686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5c5c5c" w:themeColor="accent5" w:themeTint="9A" w:themeShade="95"/>
      </w:rPr>
    </w:tblStylePr>
    <w:tblStylePr w:type="firstRow">
      <w:rPr>
        <w:b/>
        <w:color w:val="5c5c5c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5c5c5c" w:themeColor="accent5" w:themeTint="9A" w:themeShade="95"/>
      </w:rPr>
    </w:tblStylePr>
    <w:tblStylePr w:type="lastRow">
      <w:rPr>
        <w:b/>
        <w:color w:val="5c5c5c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75757" w:themeColor="accent6" w:themeTint="98" w:themeShade="95"/>
      </w:rPr>
    </w:tblStylePr>
    <w:tblStylePr w:type="firstRow">
      <w:rPr>
        <w:b/>
        <w:color w:val="57575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75757" w:themeColor="accent6" w:themeTint="98" w:themeShade="95"/>
      </w:rPr>
    </w:tblStylePr>
    <w:tblStylePr w:type="lastRow">
      <w:rPr>
        <w:b/>
        <w:color w:val="57575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818181" w:themeColor="accent1" w:themeShade="95"/>
        <w:sz w:val="22"/>
      </w:rPr>
      <w:tcPr>
        <w:shd w:val="clear" w:color="ffffff" w:themeColor="accent1" w:themeTint="40" w:fill="f6f6f6" w:themeFill="accent1" w:themeFillTint="40"/>
      </w:tcPr>
    </w:tblStylePr>
    <w:tblStylePr w:type="band1Vert">
      <w:tcPr>
        <w:shd w:val="clear" w:color="ffffff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  <w:tblStylePr w:type="firstCol">
      <w:rPr>
        <w:rFonts w:ascii="Arial" w:hAnsi="Arial"/>
        <w:i/>
        <w:color w:val="81818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818181" w:themeColor="accent1" w:themeShade="95"/>
        <w:sz w:val="22"/>
      </w:rPr>
    </w:tblStylePr>
  </w:style>
  <w:style w:type="table" w:styleId="147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7a7a7a" w:themeColor="accent2" w:themeTint="97" w:themeShade="95"/>
        <w:sz w:val="22"/>
      </w:rPr>
      <w:tcPr>
        <w:shd w:val="clear" w:color="ffffff" w:themeColor="accent2" w:themeTint="40" w:fill="ececec" w:themeFill="accent2" w:themeFillTint="40"/>
      </w:tcPr>
    </w:tblStylePr>
    <w:tblStylePr w:type="band1Vert">
      <w:tcPr>
        <w:shd w:val="clear" w:color="ffffff" w:themeColor="accent2" w:themeTint="40" w:fill="ececec" w:themeFill="accent2" w:themeFillTint="40"/>
      </w:tcPr>
    </w:tblStylePr>
    <w:tblStylePr w:type="band2Horz">
      <w:rPr>
        <w:rFonts w:ascii="Arial" w:hAnsi="Arial"/>
        <w:color w:val="7a7a7a" w:themeColor="accent2" w:themeTint="97" w:themeShade="95"/>
        <w:sz w:val="22"/>
      </w:rPr>
    </w:tblStylePr>
    <w:tblStylePr w:type="firstCol">
      <w:rPr>
        <w:rFonts w:ascii="Arial" w:hAnsi="Arial"/>
        <w:i/>
        <w:color w:val="7a7a7a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7a7a7a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a7a7a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a7a7a" w:themeColor="accent2" w:themeTint="97" w:themeShade="95"/>
        <w:sz w:val="22"/>
      </w:rPr>
    </w:tblStylePr>
  </w:style>
  <w:style w:type="table" w:styleId="148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07070" w:themeColor="accent3" w:themeTint="98" w:themeShade="95"/>
        <w:sz w:val="22"/>
      </w:rPr>
      <w:tcPr>
        <w:shd w:val="clear" w:color="ffffff" w:themeColor="accent3" w:themeTint="40" w:fill="e5e5e5" w:themeFill="accent3" w:themeFillTint="40"/>
      </w:tcPr>
    </w:tblStylePr>
    <w:tblStylePr w:type="band1Vert">
      <w:tcPr>
        <w:shd w:val="clear" w:color="ffffff" w:themeColor="accent3" w:themeTint="40" w:fill="e5e5e5" w:themeFill="accent3" w:themeFillTint="40"/>
      </w:tcPr>
    </w:tblStylePr>
    <w:tblStylePr w:type="band2Horz">
      <w:rPr>
        <w:rFonts w:ascii="Arial" w:hAnsi="Arial"/>
        <w:color w:val="707070" w:themeColor="accent3" w:themeTint="98" w:themeShade="95"/>
        <w:sz w:val="22"/>
      </w:rPr>
    </w:tblStylePr>
    <w:tblStylePr w:type="firstCol">
      <w:rPr>
        <w:rFonts w:ascii="Arial" w:hAnsi="Arial"/>
        <w:i/>
        <w:color w:val="707070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07070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07070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07070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07070" w:themeColor="accent3" w:themeTint="98" w:themeShade="95"/>
        <w:sz w:val="22"/>
      </w:rPr>
    </w:tblStylePr>
  </w:style>
  <w:style w:type="table" w:styleId="149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86868" w:themeColor="accent4" w:themeTint="9A" w:themeShade="95"/>
        <w:sz w:val="22"/>
      </w:rPr>
      <w:tcPr>
        <w:shd w:val="clear" w:color="ffffff" w:themeColor="accent4" w:themeTint="40" w:fill="dfdfdf" w:themeFill="accent4" w:themeFillTint="40"/>
      </w:tcPr>
    </w:tblStylePr>
    <w:tblStylePr w:type="band1Vert">
      <w:tcPr>
        <w:shd w:val="clear" w:color="ffffff" w:themeColor="accent4" w:themeTint="40" w:fill="dfdfdf" w:themeFill="accent4" w:themeFillTint="40"/>
      </w:tcPr>
    </w:tblStylePr>
    <w:tblStylePr w:type="band2Horz">
      <w:rPr>
        <w:rFonts w:ascii="Arial" w:hAnsi="Arial"/>
        <w:color w:val="686868" w:themeColor="accent4" w:themeTint="9A" w:themeShade="95"/>
        <w:sz w:val="22"/>
      </w:rPr>
    </w:tblStylePr>
    <w:tblStylePr w:type="firstCol">
      <w:rPr>
        <w:rFonts w:ascii="Arial" w:hAnsi="Arial"/>
        <w:i/>
        <w:color w:val="686868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86868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8686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86868" w:themeColor="accent4" w:themeTint="9A" w:themeShade="95"/>
        <w:sz w:val="22"/>
      </w:rPr>
    </w:tblStylePr>
  </w:style>
  <w:style w:type="table" w:styleId="150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5c5c5c" w:themeColor="accent5" w:themeTint="9A" w:themeShade="95"/>
        <w:sz w:val="22"/>
      </w:rPr>
      <w:tcPr>
        <w:shd w:val="clear" w:color="ffffff" w:themeColor="accent5" w:themeTint="40" w:fill="d7d7d7" w:themeFill="accent5" w:themeFillTint="40"/>
      </w:tcPr>
    </w:tblStylePr>
    <w:tblStylePr w:type="band1Vert">
      <w:tcPr>
        <w:shd w:val="clear" w:color="ffffff" w:themeColor="accent5" w:themeTint="40" w:fill="d7d7d7" w:themeFill="accent5" w:themeFillTint="40"/>
      </w:tcPr>
    </w:tblStylePr>
    <w:tblStylePr w:type="band2Horz">
      <w:rPr>
        <w:rFonts w:ascii="Arial" w:hAnsi="Arial"/>
        <w:color w:val="5c5c5c" w:themeColor="accent5" w:themeTint="9A" w:themeShade="95"/>
        <w:sz w:val="22"/>
      </w:rPr>
    </w:tblStylePr>
    <w:tblStylePr w:type="firstCol">
      <w:rPr>
        <w:rFonts w:ascii="Arial" w:hAnsi="Arial"/>
        <w:i/>
        <w:color w:val="5c5c5c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5c5c5c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5c5c5c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c5c5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c5c5c" w:themeColor="accent5" w:themeTint="9A" w:themeShade="95"/>
        <w:sz w:val="22"/>
      </w:rPr>
    </w:tblStylePr>
  </w:style>
  <w:style w:type="table" w:styleId="151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75757" w:themeColor="accent6" w:themeTint="98" w:themeShade="95"/>
        <w:sz w:val="22"/>
      </w:rPr>
      <w:tcPr>
        <w:shd w:val="clear" w:color="ffffff" w:themeColor="accent6" w:themeTint="40" w:fill="d2d2d2" w:themeFill="accent6" w:themeFillTint="40"/>
      </w:tcPr>
    </w:tblStylePr>
    <w:tblStylePr w:type="band1Vert">
      <w:tcPr>
        <w:shd w:val="clear" w:color="ffffff" w:themeColor="accent6" w:themeTint="40" w:fill="d2d2d2" w:themeFill="accent6" w:themeFillTint="40"/>
      </w:tcPr>
    </w:tblStylePr>
    <w:tblStylePr w:type="band2Horz">
      <w:rPr>
        <w:rFonts w:ascii="Arial" w:hAnsi="Arial"/>
        <w:color w:val="575757" w:themeColor="accent6" w:themeTint="98" w:themeShade="95"/>
        <w:sz w:val="22"/>
      </w:rPr>
    </w:tblStylePr>
    <w:tblStylePr w:type="firstCol">
      <w:rPr>
        <w:rFonts w:ascii="Arial" w:hAnsi="Arial"/>
        <w:i/>
        <w:color w:val="575757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75757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75757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7575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75757" w:themeColor="accent6" w:themeTint="98" w:themeShade="95"/>
        <w:sz w:val="22"/>
      </w:rPr>
    </w:tblStylePr>
  </w:style>
  <w:style w:type="table" w:styleId="152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</w:style>
  <w:style w:type="table" w:styleId="154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</w:style>
  <w:style w:type="table" w:styleId="155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</w:style>
  <w:style w:type="table" w:styleId="156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</w:style>
  <w:style w:type="table" w:styleId="157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</w:style>
  <w:style w:type="table" w:styleId="158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</w:style>
  <w:style w:type="table" w:styleId="159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f4f4f4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e0e0e0" w:themeFill="accent1" w:themeFillTint="EA"/>
      </w:tcPr>
    </w:tblStylePr>
  </w:style>
  <w:style w:type="table" w:styleId="161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0f0f0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1d1d1" w:themeFill="accent2" w:themeFillTint="97"/>
      </w:tcPr>
    </w:tblStylePr>
  </w:style>
  <w:style w:type="table" w:styleId="162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eae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69696" w:themeFill="accent3" w:themeFillTint="FE"/>
      </w:tcPr>
    </w:tblStylePr>
  </w:style>
  <w:style w:type="table" w:styleId="163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e5e5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b2b2" w:themeFill="accent4" w:themeFillTint="9A"/>
      </w:tcPr>
    </w:tblStylePr>
  </w:style>
  <w:style w:type="table" w:styleId="164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edede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f5f5f" w:themeFill="accent5"/>
      </w:tcPr>
    </w:tblStylePr>
  </w:style>
  <w:style w:type="table" w:styleId="165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bdbdb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d4d4d" w:themeFill="accent6"/>
      </w:tcPr>
    </w:tblStylePr>
  </w:style>
  <w:style w:type="table" w:styleId="166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4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4"/>
    <w:uiPriority w:val="99"/>
    <w:semiHidden/>
    <w:unhideWhenUsed/>
    <w:rPr>
      <w:vertAlign w:val="superscript"/>
    </w:r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link w:val="607"/>
    <w:qFormat/>
  </w:style>
  <w:style w:type="paragraph" w:styleId="599">
    <w:name w:val="Heading 1"/>
    <w:next w:val="598"/>
    <w:link w:val="62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00">
    <w:name w:val="Heading 2"/>
    <w:next w:val="598"/>
    <w:link w:val="657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601">
    <w:name w:val="Heading 3"/>
    <w:next w:val="598"/>
    <w:link w:val="61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02">
    <w:name w:val="Heading 4"/>
    <w:next w:val="598"/>
    <w:link w:val="65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03">
    <w:name w:val="Heading 5"/>
    <w:next w:val="598"/>
    <w:link w:val="628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character" w:styleId="607" w:customStyle="1">
    <w:name w:val="Обычный1"/>
  </w:style>
  <w:style w:type="paragraph" w:styleId="608">
    <w:name w:val="toc 2"/>
    <w:next w:val="598"/>
    <w:link w:val="609"/>
    <w:uiPriority w:val="39"/>
    <w:pPr>
      <w:ind w:left="200"/>
    </w:pPr>
    <w:rPr>
      <w:rFonts w:ascii="XO Thames" w:hAnsi="XO Thames"/>
      <w:sz w:val="28"/>
    </w:rPr>
  </w:style>
  <w:style w:type="character" w:styleId="609" w:customStyle="1">
    <w:name w:val="Оглавление 2 Знак"/>
    <w:link w:val="608"/>
    <w:rPr>
      <w:rFonts w:ascii="XO Thames" w:hAnsi="XO Thames"/>
      <w:sz w:val="28"/>
    </w:rPr>
  </w:style>
  <w:style w:type="paragraph" w:styleId="610">
    <w:name w:val="toc 4"/>
    <w:next w:val="598"/>
    <w:link w:val="611"/>
    <w:uiPriority w:val="39"/>
    <w:pPr>
      <w:ind w:left="600"/>
    </w:pPr>
    <w:rPr>
      <w:rFonts w:ascii="XO Thames" w:hAnsi="XO Thames"/>
      <w:sz w:val="28"/>
    </w:rPr>
  </w:style>
  <w:style w:type="character" w:styleId="611" w:customStyle="1">
    <w:name w:val="Оглавление 4 Знак"/>
    <w:link w:val="610"/>
    <w:rPr>
      <w:rFonts w:ascii="XO Thames" w:hAnsi="XO Thames"/>
      <w:sz w:val="28"/>
    </w:rPr>
  </w:style>
  <w:style w:type="paragraph" w:styleId="612">
    <w:name w:val="toc 6"/>
    <w:next w:val="598"/>
    <w:link w:val="613"/>
    <w:uiPriority w:val="39"/>
    <w:pPr>
      <w:ind w:left="1000"/>
    </w:pPr>
    <w:rPr>
      <w:rFonts w:ascii="XO Thames" w:hAnsi="XO Thames"/>
      <w:sz w:val="28"/>
    </w:rPr>
  </w:style>
  <w:style w:type="character" w:styleId="613" w:customStyle="1">
    <w:name w:val="Оглавление 6 Знак"/>
    <w:link w:val="612"/>
    <w:rPr>
      <w:rFonts w:ascii="XO Thames" w:hAnsi="XO Thames"/>
      <w:sz w:val="28"/>
    </w:rPr>
  </w:style>
  <w:style w:type="paragraph" w:styleId="614">
    <w:name w:val="toc 7"/>
    <w:next w:val="598"/>
    <w:link w:val="615"/>
    <w:uiPriority w:val="39"/>
    <w:pPr>
      <w:ind w:left="1200"/>
    </w:pPr>
    <w:rPr>
      <w:rFonts w:ascii="XO Thames" w:hAnsi="XO Thames"/>
      <w:sz w:val="28"/>
    </w:rPr>
  </w:style>
  <w:style w:type="character" w:styleId="615" w:customStyle="1">
    <w:name w:val="Оглавление 7 Знак"/>
    <w:link w:val="614"/>
    <w:rPr>
      <w:rFonts w:ascii="XO Thames" w:hAnsi="XO Thames"/>
      <w:sz w:val="28"/>
    </w:rPr>
  </w:style>
  <w:style w:type="paragraph" w:styleId="616" w:customStyle="1">
    <w:name w:val="Default"/>
    <w:link w:val="617"/>
    <w:pPr>
      <w:spacing w:after="0" w:line="240" w:lineRule="auto"/>
    </w:pPr>
    <w:rPr>
      <w:rFonts w:ascii="Gotham Pro Black" w:hAnsi="Gotham Pro Black"/>
      <w:sz w:val="24"/>
    </w:rPr>
  </w:style>
  <w:style w:type="character" w:styleId="617" w:customStyle="1">
    <w:name w:val="Default"/>
    <w:link w:val="616"/>
    <w:rPr>
      <w:rFonts w:ascii="Gotham Pro Black" w:hAnsi="Gotham Pro Black"/>
      <w:sz w:val="24"/>
    </w:rPr>
  </w:style>
  <w:style w:type="character" w:styleId="618" w:customStyle="1">
    <w:name w:val="Заголовок 3 Знак"/>
    <w:link w:val="601"/>
    <w:rPr>
      <w:rFonts w:ascii="XO Thames" w:hAnsi="XO Thames"/>
      <w:b/>
      <w:sz w:val="26"/>
    </w:rPr>
  </w:style>
  <w:style w:type="paragraph" w:styleId="619" w:customStyle="1">
    <w:name w:val="A0"/>
    <w:link w:val="620"/>
    <w:rPr>
      <w:b/>
    </w:rPr>
  </w:style>
  <w:style w:type="character" w:styleId="620" w:customStyle="1">
    <w:name w:val="A0"/>
    <w:link w:val="619"/>
    <w:rPr>
      <w:b/>
    </w:rPr>
  </w:style>
  <w:style w:type="paragraph" w:styleId="621" w:customStyle="1">
    <w:name w:val="Обычный1"/>
    <w:link w:val="622"/>
  </w:style>
  <w:style w:type="character" w:styleId="622" w:customStyle="1">
    <w:name w:val="Обычный1"/>
    <w:link w:val="621"/>
  </w:style>
  <w:style w:type="paragraph" w:styleId="623">
    <w:name w:val="toc 3"/>
    <w:next w:val="598"/>
    <w:link w:val="624"/>
    <w:uiPriority w:val="39"/>
    <w:pPr>
      <w:ind w:left="400"/>
    </w:pPr>
    <w:rPr>
      <w:rFonts w:ascii="XO Thames" w:hAnsi="XO Thames"/>
      <w:sz w:val="28"/>
    </w:rPr>
  </w:style>
  <w:style w:type="character" w:styleId="624" w:customStyle="1">
    <w:name w:val="Оглавление 3 Знак"/>
    <w:link w:val="623"/>
    <w:rPr>
      <w:rFonts w:ascii="XO Thames" w:hAnsi="XO Thames"/>
      <w:sz w:val="28"/>
    </w:rPr>
  </w:style>
  <w:style w:type="paragraph" w:styleId="625" w:customStyle="1">
    <w:name w:val="Основной шрифт абзаца1"/>
  </w:style>
  <w:style w:type="paragraph" w:styleId="626">
    <w:name w:val="No Spacing"/>
    <w:link w:val="627"/>
    <w:pPr>
      <w:spacing w:after="0" w:line="240" w:lineRule="auto"/>
    </w:pPr>
  </w:style>
  <w:style w:type="character" w:styleId="627" w:customStyle="1">
    <w:name w:val="Без интервала Знак"/>
    <w:link w:val="626"/>
  </w:style>
  <w:style w:type="character" w:styleId="628" w:customStyle="1">
    <w:name w:val="Заголовок 5 Знак"/>
    <w:link w:val="603"/>
    <w:rPr>
      <w:rFonts w:ascii="XO Thames" w:hAnsi="XO Thames"/>
      <w:b/>
    </w:rPr>
  </w:style>
  <w:style w:type="character" w:styleId="629" w:customStyle="1">
    <w:name w:val="Заголовок 1 Знак"/>
    <w:link w:val="599"/>
    <w:rPr>
      <w:rFonts w:ascii="XO Thames" w:hAnsi="XO Thames"/>
      <w:b/>
      <w:sz w:val="32"/>
    </w:rPr>
  </w:style>
  <w:style w:type="paragraph" w:styleId="630" w:customStyle="1">
    <w:name w:val="Гиперссылка1"/>
    <w:link w:val="631"/>
    <w:rPr>
      <w:color w:val="0000ff"/>
      <w:u w:val="single"/>
    </w:rPr>
  </w:style>
  <w:style w:type="character" w:styleId="631">
    <w:name w:val="Hyperlink"/>
    <w:link w:val="630"/>
    <w:rPr>
      <w:color w:val="0000ff"/>
      <w:u w:val="single"/>
    </w:rPr>
  </w:style>
  <w:style w:type="paragraph" w:styleId="632" w:customStyle="1">
    <w:name w:val="Footnote"/>
    <w:link w:val="633"/>
    <w:pPr>
      <w:ind w:firstLine="851"/>
      <w:jc w:val="both"/>
    </w:pPr>
    <w:rPr>
      <w:rFonts w:ascii="XO Thames" w:hAnsi="XO Thames"/>
    </w:rPr>
  </w:style>
  <w:style w:type="character" w:styleId="633" w:customStyle="1">
    <w:name w:val="Footnote"/>
    <w:link w:val="632"/>
    <w:rPr>
      <w:rFonts w:ascii="XO Thames" w:hAnsi="XO Thames"/>
    </w:rPr>
  </w:style>
  <w:style w:type="paragraph" w:styleId="634">
    <w:name w:val="toc 1"/>
    <w:next w:val="598"/>
    <w:link w:val="635"/>
    <w:uiPriority w:val="39"/>
    <w:rPr>
      <w:rFonts w:ascii="XO Thames" w:hAnsi="XO Thames"/>
      <w:b/>
      <w:sz w:val="28"/>
    </w:rPr>
  </w:style>
  <w:style w:type="character" w:styleId="635" w:customStyle="1">
    <w:name w:val="Оглавление 1 Знак"/>
    <w:link w:val="634"/>
    <w:rPr>
      <w:rFonts w:ascii="XO Thames" w:hAnsi="XO Thames"/>
      <w:b/>
      <w:sz w:val="28"/>
    </w:rPr>
  </w:style>
  <w:style w:type="paragraph" w:styleId="636" w:customStyle="1">
    <w:name w:val="Header and Footer"/>
    <w:link w:val="637"/>
    <w:pPr>
      <w:jc w:val="both"/>
      <w:spacing w:line="240" w:lineRule="auto"/>
    </w:pPr>
    <w:rPr>
      <w:rFonts w:ascii="XO Thames" w:hAnsi="XO Thames"/>
      <w:sz w:val="20"/>
    </w:rPr>
  </w:style>
  <w:style w:type="character" w:styleId="637" w:customStyle="1">
    <w:name w:val="Header and Footer"/>
    <w:link w:val="636"/>
    <w:rPr>
      <w:rFonts w:ascii="XO Thames" w:hAnsi="XO Thames"/>
      <w:sz w:val="20"/>
    </w:rPr>
  </w:style>
  <w:style w:type="paragraph" w:styleId="638">
    <w:name w:val="toc 9"/>
    <w:next w:val="598"/>
    <w:link w:val="639"/>
    <w:uiPriority w:val="39"/>
    <w:pPr>
      <w:ind w:left="1600"/>
    </w:pPr>
    <w:rPr>
      <w:rFonts w:ascii="XO Thames" w:hAnsi="XO Thames"/>
      <w:sz w:val="28"/>
    </w:rPr>
  </w:style>
  <w:style w:type="character" w:styleId="639" w:customStyle="1">
    <w:name w:val="Оглавление 9 Знак"/>
    <w:link w:val="638"/>
    <w:rPr>
      <w:rFonts w:ascii="XO Thames" w:hAnsi="XO Thames"/>
      <w:sz w:val="28"/>
    </w:rPr>
  </w:style>
  <w:style w:type="paragraph" w:styleId="640" w:customStyle="1">
    <w:name w:val="Основной шрифт абзаца1"/>
    <w:link w:val="641"/>
  </w:style>
  <w:style w:type="character" w:styleId="641" w:customStyle="1">
    <w:name w:val="Основной шрифт абзаца1"/>
    <w:link w:val="640"/>
  </w:style>
  <w:style w:type="paragraph" w:styleId="642" w:customStyle="1">
    <w:name w:val="Гиперссылка1"/>
    <w:basedOn w:val="640"/>
    <w:link w:val="643"/>
    <w:rPr>
      <w:color w:val="0563c1" w:themeColor="hyperlink"/>
      <w:u w:val="single"/>
    </w:rPr>
  </w:style>
  <w:style w:type="character" w:styleId="643" w:customStyle="1">
    <w:name w:val="Гиперссылка1"/>
    <w:basedOn w:val="641"/>
    <w:link w:val="642"/>
    <w:rPr>
      <w:color w:val="0563c1" w:themeColor="hyperlink"/>
      <w:u w:val="single"/>
    </w:rPr>
  </w:style>
  <w:style w:type="paragraph" w:styleId="644" w:customStyle="1">
    <w:name w:val="Выделение1"/>
    <w:basedOn w:val="640"/>
    <w:link w:val="645"/>
    <w:rPr>
      <w:i/>
    </w:rPr>
  </w:style>
  <w:style w:type="character" w:styleId="645" w:customStyle="1">
    <w:name w:val="Выделение1"/>
    <w:basedOn w:val="641"/>
    <w:link w:val="644"/>
    <w:rPr>
      <w:i/>
    </w:rPr>
  </w:style>
  <w:style w:type="paragraph" w:styleId="646">
    <w:name w:val="toc 8"/>
    <w:next w:val="598"/>
    <w:link w:val="647"/>
    <w:uiPriority w:val="39"/>
    <w:pPr>
      <w:ind w:left="1400"/>
    </w:pPr>
    <w:rPr>
      <w:rFonts w:ascii="XO Thames" w:hAnsi="XO Thames"/>
      <w:sz w:val="28"/>
    </w:rPr>
  </w:style>
  <w:style w:type="character" w:styleId="647" w:customStyle="1">
    <w:name w:val="Оглавление 8 Знак"/>
    <w:link w:val="646"/>
    <w:rPr>
      <w:rFonts w:ascii="XO Thames" w:hAnsi="XO Thames"/>
      <w:sz w:val="28"/>
    </w:rPr>
  </w:style>
  <w:style w:type="paragraph" w:styleId="648">
    <w:name w:val="toc 5"/>
    <w:next w:val="598"/>
    <w:link w:val="649"/>
    <w:uiPriority w:val="39"/>
    <w:pPr>
      <w:ind w:left="800"/>
    </w:pPr>
    <w:rPr>
      <w:rFonts w:ascii="XO Thames" w:hAnsi="XO Thames"/>
      <w:sz w:val="28"/>
    </w:rPr>
  </w:style>
  <w:style w:type="character" w:styleId="649" w:customStyle="1">
    <w:name w:val="Оглавление 5 Знак"/>
    <w:link w:val="648"/>
    <w:rPr>
      <w:rFonts w:ascii="XO Thames" w:hAnsi="XO Thames"/>
      <w:sz w:val="28"/>
    </w:rPr>
  </w:style>
  <w:style w:type="paragraph" w:styleId="650">
    <w:name w:val="Subtitle"/>
    <w:next w:val="598"/>
    <w:link w:val="65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51" w:customStyle="1">
    <w:name w:val="Подзаголовок Знак"/>
    <w:link w:val="650"/>
    <w:rPr>
      <w:rFonts w:ascii="XO Thames" w:hAnsi="XO Thames"/>
      <w:i/>
      <w:sz w:val="24"/>
    </w:rPr>
  </w:style>
  <w:style w:type="paragraph" w:styleId="652">
    <w:name w:val="Title"/>
    <w:next w:val="598"/>
    <w:link w:val="65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53" w:customStyle="1">
    <w:name w:val="Заголовок Знак"/>
    <w:link w:val="652"/>
    <w:rPr>
      <w:rFonts w:ascii="XO Thames" w:hAnsi="XO Thames"/>
      <w:b/>
      <w:caps/>
      <w:sz w:val="40"/>
    </w:rPr>
  </w:style>
  <w:style w:type="character" w:styleId="654" w:customStyle="1">
    <w:name w:val="Заголовок 4 Знак"/>
    <w:link w:val="602"/>
    <w:rPr>
      <w:rFonts w:ascii="XO Thames" w:hAnsi="XO Thames"/>
      <w:b/>
      <w:sz w:val="24"/>
    </w:rPr>
  </w:style>
  <w:style w:type="paragraph" w:styleId="655">
    <w:name w:val="Header"/>
    <w:basedOn w:val="598"/>
    <w:link w:val="65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6" w:customStyle="1">
    <w:name w:val="Верхний колонтитул Знак"/>
    <w:basedOn w:val="607"/>
    <w:link w:val="655"/>
  </w:style>
  <w:style w:type="character" w:styleId="657" w:customStyle="1">
    <w:name w:val="Заголовок 2 Знак"/>
    <w:link w:val="600"/>
    <w:rPr>
      <w:rFonts w:ascii="XO Thames" w:hAnsi="XO Thames"/>
      <w:b/>
      <w:sz w:val="28"/>
    </w:rPr>
  </w:style>
  <w:style w:type="paragraph" w:styleId="658">
    <w:name w:val="Footer"/>
    <w:basedOn w:val="598"/>
    <w:link w:val="65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9" w:customStyle="1">
    <w:name w:val="Нижний колонтитул Знак"/>
    <w:basedOn w:val="607"/>
    <w:link w:val="65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.me/masterskaya_kn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4472C4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5B9BD5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Екатерина Михайловна</dc:creator>
  <cp:lastModifiedBy>Мастерская контроля</cp:lastModifiedBy>
  <cp:revision>4</cp:revision>
  <dcterms:created xsi:type="dcterms:W3CDTF">2023-05-17T14:26:00Z</dcterms:created>
  <dcterms:modified xsi:type="dcterms:W3CDTF">2023-05-18T10:54:06Z</dcterms:modified>
</cp:coreProperties>
</file>