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t>О внесении изменений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Внести в постановление 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в преамбуле слова «Повышение кадрового потенциала коренных малочисленных народов с учетом их этнокультурных особенностей» заменить словами «Повышение доступа коренных малочисленных народов к услугам в сфере социального обеспечения»;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в части 4 приложения слова «Министерством развития гражданского общества Камчатского края» заменить словами «Министерством по внутренней политике и развитию Корякского округа Камчатского края».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приложение к постановлению Правительства Камчатского края от 04.10.2022 № 522-П «</w:t>
      </w:r>
      <w:r>
        <w:rPr>
          <w:rFonts w:ascii="Times New Roman" w:hAnsi="Times New Roman"/>
          <w:b w:val="false"/>
          <w:sz w:val="28"/>
          <w:szCs w:val="28"/>
        </w:rPr>
        <w:t>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3 части 4 слова «</w:t>
      </w:r>
      <w:r>
        <w:rPr>
          <w:rFonts w:ascii="Times New Roman" w:hAnsi="Times New Roman"/>
          <w:b w:val="false"/>
          <w:sz w:val="28"/>
          <w:szCs w:val="28"/>
        </w:rPr>
        <w:t>Министерство развития гражданского общества Камчатского края</w:t>
      </w:r>
      <w:r>
        <w:rPr>
          <w:rFonts w:ascii="Times New Roman" w:hAnsi="Times New Roman"/>
          <w:sz w:val="28"/>
          <w:szCs w:val="28"/>
        </w:rPr>
        <w:t>» заменить словами «Министерство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18 слова «</w:t>
      </w:r>
      <w:r>
        <w:rPr>
          <w:rFonts w:ascii="Times New Roman" w:hAnsi="Times New Roman"/>
          <w:b w:val="false"/>
          <w:sz w:val="28"/>
          <w:szCs w:val="28"/>
        </w:rPr>
        <w:t>MinRGO@kamgov.ru</w:t>
      </w:r>
      <w:r>
        <w:rPr>
          <w:rFonts w:ascii="Times New Roman" w:hAnsi="Times New Roman"/>
          <w:sz w:val="28"/>
          <w:szCs w:val="28"/>
        </w:rPr>
        <w:t>» заменить словами «atr@kamgov.ru»;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</w:t>
      </w:r>
      <w:r>
        <w:rPr>
          <w:rFonts w:ascii="Times New Roman" w:hAnsi="Times New Roman"/>
          <w:b w:val="false"/>
          <w:sz w:val="28"/>
          <w:szCs w:val="28"/>
        </w:rPr>
        <w:t xml:space="preserve">риложении к Порядку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 слова «В Министерство развития гражданского общества </w:t>
      </w: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b w:val="false"/>
          <w:sz w:val="28"/>
          <w:szCs w:val="28"/>
        </w:rPr>
        <w:t>» заменить словами «В Министерство по внутренней политике и развитию Корякского округа Камчатского края».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Правительства Камчатского края от 10.02.2023 № 71-П «</w:t>
      </w:r>
      <w:r>
        <w:rPr>
          <w:rFonts w:ascii="Times New Roman" w:hAnsi="Times New Roman"/>
          <w:b w:val="false"/>
          <w:sz w:val="28"/>
          <w:szCs w:val="28"/>
          <w:lang w:val="ru-RU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ascii="Times New Roman" w:hAnsi="Times New Roman"/>
          <w:sz w:val="28"/>
          <w:szCs w:val="28"/>
          <w:lang w:val="ru-RU"/>
        </w:rPr>
        <w:t>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1) абзац 3 части 1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sz w:val="28"/>
          <w:szCs w:val="28"/>
          <w:lang w:val="ru-RU"/>
        </w:rPr>
        <w:t>Мера социальной поддержки предоставляется в рамках реализации комплекса процессных мероприятий «Сохранение и развитие национальной культуры и родных языков коренных малочисленных народов» направления «Устойчивое развитие коренных малочисленных народов Севера, Сибири и Дальнего Востока Российской Федерации,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2) в части 3 слова «Министерством развития гражданского общества Камчатского края» заменить словами «Министерством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3) в приложении </w:t>
      </w:r>
      <w:r>
        <w:rPr>
          <w:rFonts w:ascii="Times New Roman" w:hAnsi="Times New Roman"/>
          <w:b w:val="false"/>
          <w:sz w:val="28"/>
          <w:szCs w:val="28"/>
        </w:rPr>
        <w:t>к Порядку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 слова «Министру развития гражданского общества Камчатского края» заменить словами «Министру по внутренней политике и развитию Корякского округа Камчатского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4"/>
        <w:gridCol w:w="3546"/>
        <w:gridCol w:w="2572"/>
      </w:tblGrid>
      <w:tr>
        <w:trPr>
          <w:trHeight w:val="1190" w:hRule="atLeast"/>
        </w:trPr>
        <w:tc>
          <w:tcPr>
            <w:tcW w:w="35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38" w:top="1138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LibreOffice/24.2.3.2$Windows_X86_64 LibreOffice_project/433d9c2ded56988e8a90e6b2e771ee4e6a5ab2ba</Application>
  <AppVersion>15.0000</AppVersion>
  <Pages>2</Pages>
  <Words>500</Words>
  <Characters>3657</Characters>
  <CharactersWithSpaces>4133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dcterms:modified xsi:type="dcterms:W3CDTF">2024-12-26T17:44:22Z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