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15B7">
      <w:pPr>
        <w:suppressAutoHyphens/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15B7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F85C1F" w:rsidRDefault="00B60245" w:rsidP="00B615B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14"/>
          <w:szCs w:val="14"/>
        </w:rPr>
      </w:pPr>
    </w:p>
    <w:p w:rsidR="00B60245" w:rsidRPr="00AC38AD" w:rsidRDefault="00B60245" w:rsidP="00B615B7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38AD">
        <w:rPr>
          <w:rFonts w:ascii="Times New Roman" w:hAnsi="Times New Roman" w:cs="Times New Roman"/>
          <w:sz w:val="28"/>
          <w:szCs w:val="28"/>
        </w:rPr>
        <w:t>ПРАВИТЕЛЬСТВА</w:t>
      </w:r>
      <w:r w:rsidRPr="00AC3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AC38AD" w:rsidRDefault="00B60245" w:rsidP="00B615B7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C3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38A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F85C1F" w:rsidRDefault="00B60245" w:rsidP="00B615B7">
      <w:pPr>
        <w:suppressAutoHyphens/>
        <w:spacing w:line="360" w:lineRule="auto"/>
        <w:jc w:val="center"/>
        <w:rPr>
          <w:sz w:val="14"/>
          <w:szCs w:val="14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E72222" w:rsidRPr="00E72222" w:rsidTr="00181E4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222" w:rsidRPr="00E72222" w:rsidRDefault="00E72222" w:rsidP="00E72222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E72222">
              <w:rPr>
                <w:rFonts w:eastAsiaTheme="minorHAnsi"/>
                <w:szCs w:val="20"/>
                <w:lang w:val="en-US" w:eastAsia="en-US"/>
              </w:rPr>
              <w:t>[</w:t>
            </w:r>
            <w:r w:rsidRPr="00E72222">
              <w:rPr>
                <w:rFonts w:eastAsiaTheme="minorHAnsi"/>
                <w:szCs w:val="20"/>
                <w:lang w:eastAsia="en-US"/>
              </w:rPr>
              <w:t>Д</w:t>
            </w:r>
            <w:r w:rsidRPr="00E72222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E72222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E72222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E72222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E72222" w:rsidRPr="00E72222" w:rsidRDefault="00E72222" w:rsidP="00E72222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72222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222" w:rsidRPr="00E72222" w:rsidRDefault="00E72222" w:rsidP="00E7222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E72222">
              <w:rPr>
                <w:rFonts w:eastAsiaTheme="minorHAnsi"/>
                <w:szCs w:val="20"/>
                <w:lang w:val="en-US" w:eastAsia="en-US"/>
              </w:rPr>
              <w:t>[</w:t>
            </w:r>
            <w:r w:rsidRPr="00E72222">
              <w:rPr>
                <w:rFonts w:eastAsiaTheme="minorHAnsi"/>
                <w:szCs w:val="20"/>
                <w:lang w:eastAsia="en-US"/>
              </w:rPr>
              <w:t>Н</w:t>
            </w:r>
            <w:r w:rsidRPr="00E72222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E72222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E72222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E72222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:rsidR="00E72222" w:rsidRPr="00E72222" w:rsidRDefault="00E72222" w:rsidP="00E72222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  <w:r w:rsidRPr="00E72222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:rsidR="00B60245" w:rsidRPr="00F85C1F" w:rsidRDefault="00B60245" w:rsidP="00B615B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1"/>
      </w:tblGrid>
      <w:tr w:rsidR="006C6C33" w:rsidTr="006C6C33">
        <w:trPr>
          <w:trHeight w:val="4763"/>
        </w:trPr>
        <w:tc>
          <w:tcPr>
            <w:tcW w:w="4371" w:type="dxa"/>
          </w:tcPr>
          <w:p w:rsidR="006C6C33" w:rsidRDefault="006C6C33" w:rsidP="002F6BF0">
            <w:pPr>
              <w:suppressAutoHyphens/>
              <w:adjustRightInd w:val="0"/>
              <w:ind w:left="-74"/>
              <w:jc w:val="both"/>
              <w:outlineLvl w:val="0"/>
              <w:rPr>
                <w:szCs w:val="28"/>
              </w:rPr>
            </w:pPr>
            <w:r w:rsidRPr="00AC38AD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внесении изменений </w:t>
            </w:r>
            <w:r>
              <w:rPr>
                <w:szCs w:val="28"/>
              </w:rPr>
              <w:br/>
              <w:t xml:space="preserve">в </w:t>
            </w:r>
            <w:r w:rsidR="002F6BF0">
              <w:rPr>
                <w:szCs w:val="28"/>
              </w:rPr>
              <w:t xml:space="preserve">приложение к </w:t>
            </w:r>
            <w:r>
              <w:rPr>
                <w:szCs w:val="28"/>
              </w:rPr>
              <w:t>постановлени</w:t>
            </w:r>
            <w:r w:rsidR="002F6BF0">
              <w:rPr>
                <w:szCs w:val="28"/>
              </w:rPr>
              <w:t>ю</w:t>
            </w:r>
            <w:r>
              <w:rPr>
                <w:szCs w:val="28"/>
              </w:rPr>
              <w:t xml:space="preserve"> Правительства </w:t>
            </w:r>
            <w:r w:rsidR="002F6BF0">
              <w:rPr>
                <w:szCs w:val="28"/>
              </w:rPr>
              <w:t xml:space="preserve">Камчатского края от 29.01.2019 </w:t>
            </w:r>
            <w:r>
              <w:rPr>
                <w:szCs w:val="28"/>
              </w:rPr>
              <w:t xml:space="preserve">№ 38-П </w:t>
            </w:r>
            <w:r w:rsidR="00B332ED">
              <w:rPr>
                <w:szCs w:val="28"/>
              </w:rPr>
              <w:br/>
            </w:r>
            <w:r>
              <w:rPr>
                <w:szCs w:val="28"/>
              </w:rPr>
              <w:t>«</w:t>
            </w:r>
            <w:r w:rsidR="003A7F6F" w:rsidRPr="003A7F6F">
              <w:rPr>
                <w:szCs w:val="28"/>
              </w:rPr>
              <w:t xml:space="preserve">Об утверждении Порядка предоставления субвенций местным бюджетам из краевого бюджета на осуществление государственного полномочия Камчатского края по созданию административных комиссий </w:t>
            </w:r>
            <w:r w:rsidR="00B332ED">
              <w:rPr>
                <w:szCs w:val="28"/>
              </w:rPr>
              <w:br/>
            </w:r>
            <w:r w:rsidR="003A7F6F" w:rsidRPr="003A7F6F">
              <w:rPr>
                <w:szCs w:val="28"/>
              </w:rPr>
              <w:t xml:space="preserve">в целях привлечения </w:t>
            </w:r>
            <w:r w:rsidR="00B332ED">
              <w:rPr>
                <w:szCs w:val="28"/>
              </w:rPr>
              <w:br/>
            </w:r>
            <w:r w:rsidR="003A7F6F" w:rsidRPr="003A7F6F">
              <w:rPr>
                <w:szCs w:val="28"/>
              </w:rPr>
              <w:t>к административной ответственности, предусмотренной законом Камчатского края</w:t>
            </w:r>
            <w:r w:rsidRPr="008C5DF7">
              <w:rPr>
                <w:szCs w:val="28"/>
              </w:rPr>
              <w:t>»</w:t>
            </w:r>
          </w:p>
        </w:tc>
      </w:tr>
    </w:tbl>
    <w:p w:rsidR="00627F07" w:rsidRPr="00EE0810" w:rsidRDefault="00627F07" w:rsidP="00251FDC">
      <w:pPr>
        <w:suppressAutoHyphens/>
        <w:adjustRightInd w:val="0"/>
        <w:ind w:firstLine="709"/>
        <w:jc w:val="both"/>
        <w:rPr>
          <w:szCs w:val="14"/>
        </w:rPr>
      </w:pPr>
    </w:p>
    <w:p w:rsidR="00B60245" w:rsidRPr="00AC38AD" w:rsidRDefault="00B60245" w:rsidP="00251FDC">
      <w:pPr>
        <w:suppressAutoHyphens/>
        <w:adjustRightInd w:val="0"/>
        <w:ind w:firstLine="709"/>
        <w:jc w:val="both"/>
        <w:rPr>
          <w:szCs w:val="28"/>
        </w:rPr>
      </w:pPr>
      <w:r w:rsidRPr="00AC38AD">
        <w:rPr>
          <w:szCs w:val="28"/>
        </w:rPr>
        <w:t>ПРАВИТЕЛЬСТВО ПОСТАНОВЛЯЕТ:</w:t>
      </w:r>
    </w:p>
    <w:p w:rsidR="008423A6" w:rsidRPr="00EE0810" w:rsidRDefault="008423A6" w:rsidP="00251FDC">
      <w:pPr>
        <w:suppressAutoHyphens/>
        <w:adjustRightInd w:val="0"/>
        <w:ind w:firstLine="709"/>
        <w:jc w:val="both"/>
        <w:rPr>
          <w:szCs w:val="14"/>
        </w:rPr>
      </w:pPr>
    </w:p>
    <w:p w:rsidR="006F313E" w:rsidRPr="00251FDC" w:rsidRDefault="003A7F6F" w:rsidP="00251FDC">
      <w:pPr>
        <w:pStyle w:val="af0"/>
        <w:numPr>
          <w:ilvl w:val="0"/>
          <w:numId w:val="3"/>
        </w:numPr>
        <w:suppressAutoHyphens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Ч</w:t>
      </w:r>
      <w:r w:rsidR="0014667C" w:rsidRPr="00251FDC">
        <w:rPr>
          <w:szCs w:val="28"/>
        </w:rPr>
        <w:t xml:space="preserve">асть 5 </w:t>
      </w:r>
      <w:r>
        <w:rPr>
          <w:szCs w:val="28"/>
        </w:rPr>
        <w:t xml:space="preserve">приложения к </w:t>
      </w:r>
      <w:r w:rsidR="00020E21" w:rsidRPr="00251FDC">
        <w:rPr>
          <w:szCs w:val="28"/>
        </w:rPr>
        <w:t>постановлени</w:t>
      </w:r>
      <w:r>
        <w:rPr>
          <w:szCs w:val="28"/>
        </w:rPr>
        <w:t>ю</w:t>
      </w:r>
      <w:r w:rsidR="0014667C" w:rsidRPr="00251FDC">
        <w:rPr>
          <w:szCs w:val="28"/>
        </w:rPr>
        <w:t xml:space="preserve"> </w:t>
      </w:r>
      <w:r w:rsidR="00020E21" w:rsidRPr="00251FDC">
        <w:rPr>
          <w:szCs w:val="28"/>
        </w:rPr>
        <w:t>Правительства Камчатского края от 29.01.2019 № 38-П «</w:t>
      </w:r>
      <w:r w:rsidRPr="003A7F6F">
        <w:rPr>
          <w:szCs w:val="28"/>
        </w:rPr>
        <w:t>Об утверждении Порядка предоставления субвенций местным бюджетам из краевого бюджета на осуществление государственного полномочия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</w:t>
      </w:r>
      <w:r w:rsidR="00020E21" w:rsidRPr="00251FDC">
        <w:rPr>
          <w:szCs w:val="28"/>
        </w:rPr>
        <w:t>»</w:t>
      </w:r>
      <w:r w:rsidR="0014667C" w:rsidRPr="00251FDC">
        <w:rPr>
          <w:szCs w:val="28"/>
        </w:rPr>
        <w:t xml:space="preserve"> </w:t>
      </w:r>
      <w:r>
        <w:rPr>
          <w:szCs w:val="28"/>
        </w:rPr>
        <w:t xml:space="preserve">изложить </w:t>
      </w:r>
      <w:r w:rsidR="0014667C" w:rsidRPr="00251FDC">
        <w:rPr>
          <w:szCs w:val="28"/>
        </w:rPr>
        <w:t>в следующей редакции:</w:t>
      </w:r>
    </w:p>
    <w:p w:rsidR="0014667C" w:rsidRDefault="0014667C" w:rsidP="00251FDC">
      <w:pPr>
        <w:suppressAutoHyphens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B332ED">
        <w:rPr>
          <w:szCs w:val="28"/>
        </w:rPr>
        <w:t xml:space="preserve">5. </w:t>
      </w:r>
      <w:bookmarkStart w:id="2" w:name="_GoBack"/>
      <w:bookmarkEnd w:id="2"/>
      <w:r w:rsidRPr="0014667C">
        <w:rPr>
          <w:szCs w:val="28"/>
        </w:rPr>
        <w:t>Средства субвенции расходуются органами местного самоуправления муниципальных образований в Камчатском крае по следующим направлениям:</w:t>
      </w:r>
    </w:p>
    <w:p w:rsidR="00EB61E6" w:rsidRPr="00EB61E6" w:rsidRDefault="0014667C" w:rsidP="00EB61E6">
      <w:pPr>
        <w:pStyle w:val="af0"/>
        <w:numPr>
          <w:ilvl w:val="0"/>
          <w:numId w:val="1"/>
        </w:numPr>
        <w:suppressAutoHyphens/>
        <w:adjustRightInd w:val="0"/>
        <w:ind w:left="0" w:firstLine="709"/>
        <w:jc w:val="both"/>
        <w:rPr>
          <w:szCs w:val="28"/>
        </w:rPr>
      </w:pPr>
      <w:r w:rsidRPr="00D458BD">
        <w:rPr>
          <w:szCs w:val="28"/>
        </w:rPr>
        <w:t>материальные затраты, необходимые для осуществления государственного полномочия</w:t>
      </w:r>
      <w:r w:rsidR="00EB61E6">
        <w:rPr>
          <w:szCs w:val="28"/>
        </w:rPr>
        <w:t xml:space="preserve"> </w:t>
      </w:r>
      <w:r w:rsidR="00EB61E6" w:rsidRPr="00EB61E6">
        <w:rPr>
          <w:szCs w:val="28"/>
        </w:rPr>
        <w:t>(расходы на услуги связи, транспортные услуги</w:t>
      </w:r>
      <w:r w:rsidR="00EB61E6">
        <w:rPr>
          <w:szCs w:val="28"/>
        </w:rPr>
        <w:t>,</w:t>
      </w:r>
      <w:r w:rsidR="00EB61E6" w:rsidRPr="00EB61E6">
        <w:rPr>
          <w:szCs w:val="28"/>
        </w:rPr>
        <w:t xml:space="preserve"> почтовые расходы, расходы на изготовление бланков, печатей, штампов, приобретение канцелярских товаров, оргтехники, расходных материалов для оргтехники,</w:t>
      </w:r>
      <w:r w:rsidR="00EB61E6">
        <w:rPr>
          <w:szCs w:val="28"/>
        </w:rPr>
        <w:t xml:space="preserve"> офисной мебели, измерительных приборов, используемых в целях определения расстояния, </w:t>
      </w:r>
      <w:r w:rsidR="00EB61E6" w:rsidRPr="00D458BD">
        <w:rPr>
          <w:szCs w:val="28"/>
        </w:rPr>
        <w:t xml:space="preserve">автоматизированных информационных систем, с помощью которых осуществляется сбор, контроль и систематизация сведений, </w:t>
      </w:r>
      <w:r w:rsidR="00EB61E6" w:rsidRPr="00D458BD">
        <w:rPr>
          <w:szCs w:val="28"/>
        </w:rPr>
        <w:lastRenderedPageBreak/>
        <w:t>выполняется оперативное формирование соответствующей отчетности и статистической документации</w:t>
      </w:r>
      <w:r w:rsidR="00EB61E6">
        <w:rPr>
          <w:szCs w:val="28"/>
        </w:rPr>
        <w:t>);</w:t>
      </w:r>
    </w:p>
    <w:p w:rsidR="00C85ECC" w:rsidRDefault="0014667C" w:rsidP="00C85ECC">
      <w:pPr>
        <w:pStyle w:val="af0"/>
        <w:numPr>
          <w:ilvl w:val="0"/>
          <w:numId w:val="1"/>
        </w:numPr>
        <w:suppressAutoHyphens/>
        <w:adjustRightInd w:val="0"/>
        <w:ind w:left="0" w:firstLine="709"/>
        <w:jc w:val="both"/>
        <w:rPr>
          <w:szCs w:val="28"/>
        </w:rPr>
      </w:pPr>
      <w:r w:rsidRPr="0014667C">
        <w:rPr>
          <w:szCs w:val="28"/>
        </w:rPr>
        <w:t>расходы на оплату труда, начисления на выплаты по оплате труда, иные выплаты и компенсации, предусмотренные трудовым законодательством, секретаря административной комиссии муниципального образования в Камчатском крае либо расходы на плату труда, начисления на выплаты по оплате труда работника органа местного самоуправления, выполняющего работу секретаря административной комиссии муниципального образования в Камчатском</w:t>
      </w:r>
      <w:r>
        <w:rPr>
          <w:szCs w:val="28"/>
        </w:rPr>
        <w:t xml:space="preserve"> крае на условиях совмещения</w:t>
      </w:r>
      <w:r w:rsidR="00D458BD">
        <w:rPr>
          <w:szCs w:val="28"/>
        </w:rPr>
        <w:t>;</w:t>
      </w:r>
    </w:p>
    <w:p w:rsidR="006F313E" w:rsidRPr="00EB61E6" w:rsidRDefault="00377A3A" w:rsidP="00EB61E6">
      <w:pPr>
        <w:pStyle w:val="af0"/>
        <w:numPr>
          <w:ilvl w:val="0"/>
          <w:numId w:val="1"/>
        </w:numPr>
        <w:suppressAutoHyphens/>
        <w:adjustRightInd w:val="0"/>
        <w:ind w:left="0" w:firstLine="709"/>
        <w:jc w:val="both"/>
        <w:rPr>
          <w:szCs w:val="28"/>
        </w:rPr>
      </w:pPr>
      <w:r w:rsidRPr="00C85ECC">
        <w:rPr>
          <w:szCs w:val="28"/>
        </w:rPr>
        <w:t>расходы</w:t>
      </w:r>
      <w:r w:rsidR="00EB61E6">
        <w:rPr>
          <w:szCs w:val="28"/>
        </w:rPr>
        <w:t>, связанные с повышением квалификации секретарей административных комиссий (семинары, тренинги, курсы) по вопросам создания и организации деятельности административных комиссий</w:t>
      </w:r>
      <w:r w:rsidR="00C85ECC" w:rsidRPr="00EB61E6">
        <w:rPr>
          <w:szCs w:val="28"/>
        </w:rPr>
        <w:t>.</w:t>
      </w:r>
      <w:r w:rsidR="00C910A6" w:rsidRPr="00EB61E6">
        <w:rPr>
          <w:szCs w:val="28"/>
        </w:rPr>
        <w:t>»</w:t>
      </w:r>
      <w:r w:rsidR="00F85C1F" w:rsidRPr="00EB61E6">
        <w:rPr>
          <w:szCs w:val="28"/>
        </w:rPr>
        <w:t>.</w:t>
      </w:r>
    </w:p>
    <w:p w:rsidR="00B60245" w:rsidRDefault="00B615B7" w:rsidP="00251FDC">
      <w:pPr>
        <w:pStyle w:val="af0"/>
        <w:numPr>
          <w:ilvl w:val="0"/>
          <w:numId w:val="3"/>
        </w:numPr>
        <w:suppressAutoHyphens/>
        <w:adjustRightInd w:val="0"/>
        <w:ind w:left="0" w:firstLine="709"/>
        <w:jc w:val="both"/>
        <w:rPr>
          <w:szCs w:val="28"/>
        </w:rPr>
      </w:pPr>
      <w:r w:rsidRPr="00B615B7">
        <w:rPr>
          <w:szCs w:val="28"/>
        </w:rPr>
        <w:t xml:space="preserve">Настоящее постановление вступает </w:t>
      </w:r>
      <w:r w:rsidR="008A4902">
        <w:rPr>
          <w:szCs w:val="28"/>
        </w:rPr>
        <w:t xml:space="preserve">в силу </w:t>
      </w:r>
      <w:r w:rsidR="00230238">
        <w:rPr>
          <w:szCs w:val="28"/>
        </w:rPr>
        <w:t>после</w:t>
      </w:r>
      <w:r w:rsidRPr="00B615B7">
        <w:rPr>
          <w:szCs w:val="28"/>
        </w:rPr>
        <w:t xml:space="preserve"> дня его официального опубликования.</w:t>
      </w:r>
    </w:p>
    <w:p w:rsidR="000F14B8" w:rsidRDefault="000F14B8" w:rsidP="00D30879">
      <w:pPr>
        <w:suppressAutoHyphens/>
        <w:adjustRightInd w:val="0"/>
        <w:jc w:val="both"/>
        <w:rPr>
          <w:szCs w:val="28"/>
        </w:rPr>
      </w:pPr>
    </w:p>
    <w:p w:rsidR="00C85ECC" w:rsidRDefault="00C85ECC" w:rsidP="00D30879">
      <w:pPr>
        <w:suppressAutoHyphens/>
        <w:adjustRightInd w:val="0"/>
        <w:jc w:val="both"/>
        <w:rPr>
          <w:szCs w:val="28"/>
        </w:rPr>
      </w:pPr>
    </w:p>
    <w:p w:rsidR="00C85ECC" w:rsidRDefault="00C85ECC" w:rsidP="00D30879">
      <w:pPr>
        <w:suppressAutoHyphens/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3827"/>
        <w:gridCol w:w="1843"/>
      </w:tblGrid>
      <w:tr w:rsidR="00DB7C81" w:rsidRPr="00F1482A" w:rsidTr="002742C6">
        <w:trPr>
          <w:trHeight w:val="1334"/>
        </w:trPr>
        <w:tc>
          <w:tcPr>
            <w:tcW w:w="4145" w:type="dxa"/>
            <w:hideMark/>
          </w:tcPr>
          <w:p w:rsidR="00DB7C81" w:rsidRPr="00F1482A" w:rsidRDefault="00DB7C81" w:rsidP="00FB27F7">
            <w:pPr>
              <w:ind w:left="30"/>
              <w:rPr>
                <w:szCs w:val="28"/>
              </w:rPr>
            </w:pPr>
            <w:r w:rsidRPr="00F1482A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F1482A">
              <w:rPr>
                <w:szCs w:val="28"/>
              </w:rPr>
              <w:t xml:space="preserve"> Правительства Камчатского края</w:t>
            </w:r>
          </w:p>
        </w:tc>
        <w:tc>
          <w:tcPr>
            <w:tcW w:w="3827" w:type="dxa"/>
          </w:tcPr>
          <w:p w:rsidR="00DB7C81" w:rsidRPr="00F1482A" w:rsidRDefault="00DB7C81" w:rsidP="00FB27F7">
            <w:pPr>
              <w:jc w:val="center"/>
            </w:pPr>
            <w:r w:rsidRPr="00F1482A">
              <w:t>[горизонтальный штамп подписи 1]</w:t>
            </w:r>
          </w:p>
          <w:p w:rsidR="00DB7C81" w:rsidRPr="00F1482A" w:rsidRDefault="00DB7C81" w:rsidP="00FB27F7">
            <w:pPr>
              <w:ind w:left="142" w:hanging="142"/>
              <w:jc w:val="right"/>
            </w:pPr>
          </w:p>
        </w:tc>
        <w:tc>
          <w:tcPr>
            <w:tcW w:w="1843" w:type="dxa"/>
          </w:tcPr>
          <w:p w:rsidR="00DB7C81" w:rsidRPr="00F1482A" w:rsidRDefault="00DB7C81" w:rsidP="00FB27F7">
            <w:pPr>
              <w:ind w:left="142" w:right="126" w:hanging="142"/>
              <w:jc w:val="right"/>
            </w:pPr>
          </w:p>
          <w:p w:rsidR="00DB7C81" w:rsidRPr="00F1482A" w:rsidRDefault="00DB7C81" w:rsidP="00740123">
            <w:pPr>
              <w:tabs>
                <w:tab w:val="center" w:pos="1363"/>
                <w:tab w:val="right" w:pos="2727"/>
              </w:tabs>
              <w:jc w:val="right"/>
            </w:pPr>
            <w:r w:rsidRPr="00F1482A">
              <w:t>Е.А. Чекин</w:t>
            </w:r>
          </w:p>
        </w:tc>
      </w:tr>
    </w:tbl>
    <w:p w:rsidR="008620F6" w:rsidRPr="00B478E1" w:rsidRDefault="008620F6" w:rsidP="00F8531F">
      <w:pPr>
        <w:pStyle w:val="ConsPlusNormal"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sectPr w:rsidR="008620F6" w:rsidRPr="00B478E1" w:rsidSect="006C6C33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69" w:rsidRDefault="00A43669" w:rsidP="00342D13">
      <w:r>
        <w:separator/>
      </w:r>
    </w:p>
  </w:endnote>
  <w:endnote w:type="continuationSeparator" w:id="0">
    <w:p w:rsidR="00A43669" w:rsidRDefault="00A4366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69" w:rsidRDefault="00A43669" w:rsidP="00342D13">
      <w:r>
        <w:separator/>
      </w:r>
    </w:p>
  </w:footnote>
  <w:footnote w:type="continuationSeparator" w:id="0">
    <w:p w:rsidR="00A43669" w:rsidRDefault="00A43669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355311196"/>
      <w:docPartObj>
        <w:docPartGallery w:val="Page Numbers (Top of Page)"/>
        <w:docPartUnique/>
      </w:docPartObj>
    </w:sdtPr>
    <w:sdtEndPr/>
    <w:sdtContent>
      <w:p w:rsidR="00DB7C81" w:rsidRPr="008620F6" w:rsidRDefault="00DB7C81" w:rsidP="008620F6">
        <w:pPr>
          <w:pStyle w:val="ac"/>
          <w:jc w:val="center"/>
          <w:rPr>
            <w:sz w:val="24"/>
          </w:rPr>
        </w:pPr>
        <w:r w:rsidRPr="008620F6">
          <w:rPr>
            <w:sz w:val="24"/>
          </w:rPr>
          <w:fldChar w:fldCharType="begin"/>
        </w:r>
        <w:r w:rsidRPr="008620F6">
          <w:rPr>
            <w:sz w:val="24"/>
          </w:rPr>
          <w:instrText>PAGE   \* MERGEFORMAT</w:instrText>
        </w:r>
        <w:r w:rsidRPr="008620F6">
          <w:rPr>
            <w:sz w:val="24"/>
          </w:rPr>
          <w:fldChar w:fldCharType="separate"/>
        </w:r>
        <w:r w:rsidR="00B332ED">
          <w:rPr>
            <w:noProof/>
            <w:sz w:val="24"/>
          </w:rPr>
          <w:t>2</w:t>
        </w:r>
        <w:r w:rsidRPr="008620F6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287"/>
    <w:multiLevelType w:val="hybridMultilevel"/>
    <w:tmpl w:val="176CF398"/>
    <w:lvl w:ilvl="0" w:tplc="87762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A41271"/>
    <w:multiLevelType w:val="hybridMultilevel"/>
    <w:tmpl w:val="7D1C3664"/>
    <w:lvl w:ilvl="0" w:tplc="D1B6BD9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9C4887"/>
    <w:multiLevelType w:val="hybridMultilevel"/>
    <w:tmpl w:val="43AEEB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1B2B"/>
    <w:rsid w:val="00013733"/>
    <w:rsid w:val="0002012B"/>
    <w:rsid w:val="000207F9"/>
    <w:rsid w:val="00020E21"/>
    <w:rsid w:val="00024732"/>
    <w:rsid w:val="0003329F"/>
    <w:rsid w:val="00035C9A"/>
    <w:rsid w:val="00044126"/>
    <w:rsid w:val="00050838"/>
    <w:rsid w:val="000545B3"/>
    <w:rsid w:val="00074C66"/>
    <w:rsid w:val="000B5D87"/>
    <w:rsid w:val="000C1841"/>
    <w:rsid w:val="000F14B8"/>
    <w:rsid w:val="000F530D"/>
    <w:rsid w:val="001136C4"/>
    <w:rsid w:val="0014569B"/>
    <w:rsid w:val="0014667C"/>
    <w:rsid w:val="00150E23"/>
    <w:rsid w:val="001673D4"/>
    <w:rsid w:val="001723D0"/>
    <w:rsid w:val="00191854"/>
    <w:rsid w:val="00192535"/>
    <w:rsid w:val="00195231"/>
    <w:rsid w:val="00196836"/>
    <w:rsid w:val="001B5371"/>
    <w:rsid w:val="001D6329"/>
    <w:rsid w:val="001E0B39"/>
    <w:rsid w:val="001E62AB"/>
    <w:rsid w:val="001E6FE1"/>
    <w:rsid w:val="00200564"/>
    <w:rsid w:val="00223D68"/>
    <w:rsid w:val="002256F3"/>
    <w:rsid w:val="00230238"/>
    <w:rsid w:val="00230F4D"/>
    <w:rsid w:val="00232A85"/>
    <w:rsid w:val="00236728"/>
    <w:rsid w:val="00240435"/>
    <w:rsid w:val="00241A06"/>
    <w:rsid w:val="00251FDC"/>
    <w:rsid w:val="002538AB"/>
    <w:rsid w:val="0025530D"/>
    <w:rsid w:val="002722F0"/>
    <w:rsid w:val="002742C6"/>
    <w:rsid w:val="00283AEC"/>
    <w:rsid w:val="00296585"/>
    <w:rsid w:val="002A71B0"/>
    <w:rsid w:val="002B334D"/>
    <w:rsid w:val="002C174C"/>
    <w:rsid w:val="002D43BE"/>
    <w:rsid w:val="002F6BF0"/>
    <w:rsid w:val="00321E7D"/>
    <w:rsid w:val="00342D13"/>
    <w:rsid w:val="00362299"/>
    <w:rsid w:val="0036614C"/>
    <w:rsid w:val="00371224"/>
    <w:rsid w:val="00377A3A"/>
    <w:rsid w:val="003832CF"/>
    <w:rsid w:val="003926A3"/>
    <w:rsid w:val="003A5BEF"/>
    <w:rsid w:val="003A63C1"/>
    <w:rsid w:val="003A7F52"/>
    <w:rsid w:val="003A7F6F"/>
    <w:rsid w:val="003B74A1"/>
    <w:rsid w:val="003C2A43"/>
    <w:rsid w:val="003D6F0D"/>
    <w:rsid w:val="003E38BA"/>
    <w:rsid w:val="003F6381"/>
    <w:rsid w:val="004241DE"/>
    <w:rsid w:val="00425C3E"/>
    <w:rsid w:val="004279AA"/>
    <w:rsid w:val="0043303A"/>
    <w:rsid w:val="00433697"/>
    <w:rsid w:val="00441A91"/>
    <w:rsid w:val="00447EBB"/>
    <w:rsid w:val="00450D91"/>
    <w:rsid w:val="00452D6A"/>
    <w:rsid w:val="00460247"/>
    <w:rsid w:val="0046790E"/>
    <w:rsid w:val="0048068C"/>
    <w:rsid w:val="0048261B"/>
    <w:rsid w:val="004916C8"/>
    <w:rsid w:val="00494907"/>
    <w:rsid w:val="004B0AF9"/>
    <w:rsid w:val="004B1A14"/>
    <w:rsid w:val="004C110D"/>
    <w:rsid w:val="004D492F"/>
    <w:rsid w:val="004D79DB"/>
    <w:rsid w:val="004E54FA"/>
    <w:rsid w:val="004F0472"/>
    <w:rsid w:val="00501052"/>
    <w:rsid w:val="00511A74"/>
    <w:rsid w:val="00512C6C"/>
    <w:rsid w:val="00514EDA"/>
    <w:rsid w:val="00523E40"/>
    <w:rsid w:val="005317F9"/>
    <w:rsid w:val="0054446A"/>
    <w:rsid w:val="00561291"/>
    <w:rsid w:val="005709CE"/>
    <w:rsid w:val="00575982"/>
    <w:rsid w:val="005862B2"/>
    <w:rsid w:val="00587566"/>
    <w:rsid w:val="005A5B79"/>
    <w:rsid w:val="005B009B"/>
    <w:rsid w:val="005E22DD"/>
    <w:rsid w:val="005F0B57"/>
    <w:rsid w:val="005F2BC6"/>
    <w:rsid w:val="005F54B5"/>
    <w:rsid w:val="00606A19"/>
    <w:rsid w:val="006170E0"/>
    <w:rsid w:val="006172B0"/>
    <w:rsid w:val="00627F07"/>
    <w:rsid w:val="00630B1E"/>
    <w:rsid w:val="006317BF"/>
    <w:rsid w:val="006510D7"/>
    <w:rsid w:val="006604E4"/>
    <w:rsid w:val="006650EC"/>
    <w:rsid w:val="00672A6C"/>
    <w:rsid w:val="0067575D"/>
    <w:rsid w:val="006979FB"/>
    <w:rsid w:val="006A5AB2"/>
    <w:rsid w:val="006C263D"/>
    <w:rsid w:val="006C3E88"/>
    <w:rsid w:val="006C6C33"/>
    <w:rsid w:val="006D4BF2"/>
    <w:rsid w:val="006D60FC"/>
    <w:rsid w:val="006E4B23"/>
    <w:rsid w:val="006F313E"/>
    <w:rsid w:val="007120E9"/>
    <w:rsid w:val="00720C4A"/>
    <w:rsid w:val="0072115F"/>
    <w:rsid w:val="007267B4"/>
    <w:rsid w:val="00731C9D"/>
    <w:rsid w:val="00733DC4"/>
    <w:rsid w:val="00740123"/>
    <w:rsid w:val="00747197"/>
    <w:rsid w:val="00760202"/>
    <w:rsid w:val="00777241"/>
    <w:rsid w:val="00793645"/>
    <w:rsid w:val="007959E0"/>
    <w:rsid w:val="007A764E"/>
    <w:rsid w:val="007B0410"/>
    <w:rsid w:val="007C6DC9"/>
    <w:rsid w:val="007E17B7"/>
    <w:rsid w:val="007F49CA"/>
    <w:rsid w:val="00815D96"/>
    <w:rsid w:val="008300BE"/>
    <w:rsid w:val="0083039A"/>
    <w:rsid w:val="00832C24"/>
    <w:rsid w:val="00832E23"/>
    <w:rsid w:val="00833E29"/>
    <w:rsid w:val="008423A6"/>
    <w:rsid w:val="008434A6"/>
    <w:rsid w:val="008443B6"/>
    <w:rsid w:val="00856C9C"/>
    <w:rsid w:val="00857E7B"/>
    <w:rsid w:val="008620F6"/>
    <w:rsid w:val="00863EEF"/>
    <w:rsid w:val="00880321"/>
    <w:rsid w:val="008A4902"/>
    <w:rsid w:val="008B7954"/>
    <w:rsid w:val="008D13CF"/>
    <w:rsid w:val="008E0AAE"/>
    <w:rsid w:val="008F114E"/>
    <w:rsid w:val="008F586A"/>
    <w:rsid w:val="00905B59"/>
    <w:rsid w:val="009244DB"/>
    <w:rsid w:val="00941FB5"/>
    <w:rsid w:val="00944F7A"/>
    <w:rsid w:val="00955799"/>
    <w:rsid w:val="00970B2B"/>
    <w:rsid w:val="009A5446"/>
    <w:rsid w:val="009B185D"/>
    <w:rsid w:val="009B1C1D"/>
    <w:rsid w:val="009B6B79"/>
    <w:rsid w:val="009D27F0"/>
    <w:rsid w:val="009E0C88"/>
    <w:rsid w:val="009E5EC5"/>
    <w:rsid w:val="009F09AC"/>
    <w:rsid w:val="009F2212"/>
    <w:rsid w:val="00A16406"/>
    <w:rsid w:val="00A27B0B"/>
    <w:rsid w:val="00A43669"/>
    <w:rsid w:val="00A529E1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38AD"/>
    <w:rsid w:val="00AC533B"/>
    <w:rsid w:val="00AC6BC7"/>
    <w:rsid w:val="00AE6285"/>
    <w:rsid w:val="00AE7CE5"/>
    <w:rsid w:val="00B0143F"/>
    <w:rsid w:val="00B0361E"/>
    <w:rsid w:val="00B047CC"/>
    <w:rsid w:val="00B05805"/>
    <w:rsid w:val="00B332ED"/>
    <w:rsid w:val="00B440AB"/>
    <w:rsid w:val="00B478E1"/>
    <w:rsid w:val="00B524A1"/>
    <w:rsid w:val="00B539F9"/>
    <w:rsid w:val="00B540BB"/>
    <w:rsid w:val="00B60245"/>
    <w:rsid w:val="00B615B7"/>
    <w:rsid w:val="00B74965"/>
    <w:rsid w:val="00BA2CFB"/>
    <w:rsid w:val="00BA2D9F"/>
    <w:rsid w:val="00BA6A84"/>
    <w:rsid w:val="00BC0BDD"/>
    <w:rsid w:val="00BC2E6D"/>
    <w:rsid w:val="00BD00EE"/>
    <w:rsid w:val="00BD3083"/>
    <w:rsid w:val="00BE3273"/>
    <w:rsid w:val="00BE6C4B"/>
    <w:rsid w:val="00BF3927"/>
    <w:rsid w:val="00BF5293"/>
    <w:rsid w:val="00C00871"/>
    <w:rsid w:val="00C21C58"/>
    <w:rsid w:val="00C2263B"/>
    <w:rsid w:val="00C52235"/>
    <w:rsid w:val="00C67675"/>
    <w:rsid w:val="00C82D51"/>
    <w:rsid w:val="00C85ECC"/>
    <w:rsid w:val="00C87DDD"/>
    <w:rsid w:val="00C910A6"/>
    <w:rsid w:val="00C93614"/>
    <w:rsid w:val="00C942BC"/>
    <w:rsid w:val="00C966C3"/>
    <w:rsid w:val="00CA2E6F"/>
    <w:rsid w:val="00CB67A4"/>
    <w:rsid w:val="00CD4A09"/>
    <w:rsid w:val="00CE0B94"/>
    <w:rsid w:val="00CE5360"/>
    <w:rsid w:val="00CE5A53"/>
    <w:rsid w:val="00CE7B2B"/>
    <w:rsid w:val="00D00612"/>
    <w:rsid w:val="00D04C82"/>
    <w:rsid w:val="00D11FF0"/>
    <w:rsid w:val="00D23436"/>
    <w:rsid w:val="00D30879"/>
    <w:rsid w:val="00D36DC6"/>
    <w:rsid w:val="00D458BD"/>
    <w:rsid w:val="00D605CF"/>
    <w:rsid w:val="00D902FD"/>
    <w:rsid w:val="00DA3A2D"/>
    <w:rsid w:val="00DB7C81"/>
    <w:rsid w:val="00DC34F7"/>
    <w:rsid w:val="00DC6E09"/>
    <w:rsid w:val="00DD3F53"/>
    <w:rsid w:val="00DD7EC9"/>
    <w:rsid w:val="00DE4F75"/>
    <w:rsid w:val="00DE7584"/>
    <w:rsid w:val="00E0636D"/>
    <w:rsid w:val="00E07EB7"/>
    <w:rsid w:val="00E24ECE"/>
    <w:rsid w:val="00E34935"/>
    <w:rsid w:val="00E3601E"/>
    <w:rsid w:val="00E371B1"/>
    <w:rsid w:val="00E40C39"/>
    <w:rsid w:val="00E43BA9"/>
    <w:rsid w:val="00E43D52"/>
    <w:rsid w:val="00E50355"/>
    <w:rsid w:val="00E5302D"/>
    <w:rsid w:val="00E704ED"/>
    <w:rsid w:val="00E72222"/>
    <w:rsid w:val="00E823F1"/>
    <w:rsid w:val="00E872A5"/>
    <w:rsid w:val="00E94805"/>
    <w:rsid w:val="00EB3439"/>
    <w:rsid w:val="00EB61E6"/>
    <w:rsid w:val="00EC25F6"/>
    <w:rsid w:val="00EC3838"/>
    <w:rsid w:val="00EC7019"/>
    <w:rsid w:val="00ED7492"/>
    <w:rsid w:val="00EE0810"/>
    <w:rsid w:val="00EE0DFD"/>
    <w:rsid w:val="00EE3E92"/>
    <w:rsid w:val="00EE60C2"/>
    <w:rsid w:val="00EE6F1E"/>
    <w:rsid w:val="00F11C91"/>
    <w:rsid w:val="00F32210"/>
    <w:rsid w:val="00F35D89"/>
    <w:rsid w:val="00F45085"/>
    <w:rsid w:val="00F73B10"/>
    <w:rsid w:val="00F74A59"/>
    <w:rsid w:val="00F8531F"/>
    <w:rsid w:val="00F85C1F"/>
    <w:rsid w:val="00FA06A4"/>
    <w:rsid w:val="00FA11B3"/>
    <w:rsid w:val="00FB3670"/>
    <w:rsid w:val="00FB6E5E"/>
    <w:rsid w:val="00FD3D87"/>
    <w:rsid w:val="00FD68ED"/>
    <w:rsid w:val="00FE0A0B"/>
    <w:rsid w:val="00FE56A0"/>
    <w:rsid w:val="00FE6B3B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64E3D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DB7C81"/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DB7C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7C81"/>
    <w:rPr>
      <w:sz w:val="28"/>
      <w:szCs w:val="24"/>
    </w:rPr>
  </w:style>
  <w:style w:type="paragraph" w:styleId="ae">
    <w:name w:val="footer"/>
    <w:basedOn w:val="a"/>
    <w:link w:val="af"/>
    <w:rsid w:val="00DB7C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7C81"/>
    <w:rPr>
      <w:sz w:val="28"/>
      <w:szCs w:val="24"/>
    </w:rPr>
  </w:style>
  <w:style w:type="paragraph" w:styleId="af0">
    <w:name w:val="List Paragraph"/>
    <w:basedOn w:val="a"/>
    <w:uiPriority w:val="34"/>
    <w:qFormat/>
    <w:rsid w:val="00AC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0A50-65E4-4021-A1F1-10F3A1B3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2483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Каменецкий Михаил Владимирович</cp:lastModifiedBy>
  <cp:revision>18</cp:revision>
  <cp:lastPrinted>2020-05-08T01:33:00Z</cp:lastPrinted>
  <dcterms:created xsi:type="dcterms:W3CDTF">2022-07-06T04:10:00Z</dcterms:created>
  <dcterms:modified xsi:type="dcterms:W3CDTF">2022-09-01T06:10:00Z</dcterms:modified>
</cp:coreProperties>
</file>