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7E2" w:rsidRDefault="00E14759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47E2" w:rsidRDefault="00E1475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 О С Т А Н О В Л Е Н И Е</w:t>
      </w:r>
    </w:p>
    <w:p w:rsidR="008847E2" w:rsidRDefault="008847E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8"/>
        </w:rPr>
      </w:pPr>
    </w:p>
    <w:p w:rsidR="008847E2" w:rsidRDefault="00E1475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ПРАВИТЕЛЬСТВА </w:t>
      </w:r>
    </w:p>
    <w:p w:rsidR="008847E2" w:rsidRDefault="00E1475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КАМЧАТСКОГО КРАЯ</w:t>
      </w:r>
    </w:p>
    <w:p w:rsidR="008847E2" w:rsidRDefault="008847E2">
      <w:pPr>
        <w:spacing w:line="360" w:lineRule="auto"/>
        <w:jc w:val="center"/>
        <w:rPr>
          <w:sz w:val="16"/>
          <w:szCs w:val="16"/>
        </w:rPr>
      </w:pPr>
    </w:p>
    <w:p w:rsidR="008847E2" w:rsidRDefault="008847E2">
      <w:pPr>
        <w:spacing w:line="360" w:lineRule="auto"/>
        <w:jc w:val="center"/>
        <w:rPr>
          <w:sz w:val="16"/>
          <w:szCs w:val="16"/>
        </w:rPr>
      </w:pPr>
    </w:p>
    <w:tbl>
      <w:tblPr>
        <w:tblStyle w:val="af5"/>
        <w:tblW w:w="52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8847E2">
        <w:tc>
          <w:tcPr>
            <w:tcW w:w="2552" w:type="dxa"/>
            <w:tcBorders>
              <w:bottom w:val="single" w:sz="4" w:space="0" w:color="000000"/>
            </w:tcBorders>
          </w:tcPr>
          <w:p w:rsidR="008847E2" w:rsidRDefault="00E14759">
            <w:pPr>
              <w:jc w:val="center"/>
            </w:pPr>
            <w:r>
              <w:t>[</w:t>
            </w:r>
            <w:r>
              <w:rPr>
                <w:color w:val="E7E6E6"/>
              </w:rPr>
              <w:t>Дата регистрации</w:t>
            </w:r>
            <w:r>
              <w:t>]</w:t>
            </w:r>
          </w:p>
        </w:tc>
        <w:tc>
          <w:tcPr>
            <w:tcW w:w="425" w:type="dxa"/>
          </w:tcPr>
          <w:p w:rsidR="008847E2" w:rsidRDefault="00E14759">
            <w:pPr>
              <w:jc w:val="both"/>
            </w:pPr>
            <w:r>
              <w:t>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847E2" w:rsidRDefault="00E14759">
            <w:pPr>
              <w:jc w:val="center"/>
              <w:rPr>
                <w:b/>
              </w:rPr>
            </w:pPr>
            <w:r>
              <w:t>[</w:t>
            </w:r>
            <w:r>
              <w:rPr>
                <w:color w:val="E7E6E6"/>
              </w:rPr>
              <w:t>Номер</w:t>
            </w:r>
            <w:r>
              <w:rPr>
                <w:color w:val="E7E6E6"/>
                <w:sz w:val="20"/>
                <w:szCs w:val="20"/>
              </w:rPr>
              <w:t xml:space="preserve"> документа</w:t>
            </w:r>
            <w:r>
              <w:t>]</w:t>
            </w:r>
          </w:p>
        </w:tc>
      </w:tr>
    </w:tbl>
    <w:p w:rsidR="008847E2" w:rsidRDefault="00E14759">
      <w:pPr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      г. Петропавловск-Камчатский</w:t>
      </w:r>
    </w:p>
    <w:p w:rsidR="008847E2" w:rsidRDefault="008847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6"/>
        <w:tblW w:w="43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8847E2">
        <w:tc>
          <w:tcPr>
            <w:tcW w:w="4395" w:type="dxa"/>
          </w:tcPr>
          <w:p w:rsidR="008847E2" w:rsidRDefault="00226798" w:rsidP="00FD4678">
            <w:pPr>
              <w:jc w:val="both"/>
            </w:pPr>
            <w:bookmarkStart w:id="0" w:name="_GoBack"/>
            <w:r>
              <w:t>Об утверждении Порядка</w:t>
            </w:r>
            <w:r w:rsidR="00FD4678">
              <w:t xml:space="preserve"> </w:t>
            </w:r>
            <w:r>
              <w:t>выделения из краевого бюджета грантов городским округам, муниципальным округам и муниципальным районам в Камчатском крае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округов, муниципальных округов и муниципальных районов в Камчатском крае</w:t>
            </w:r>
            <w:bookmarkEnd w:id="0"/>
          </w:p>
        </w:tc>
      </w:tr>
    </w:tbl>
    <w:p w:rsidR="008847E2" w:rsidRDefault="008847E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8"/>
        </w:rPr>
      </w:pPr>
    </w:p>
    <w:p w:rsidR="00EC7D55" w:rsidRDefault="00EC7D55" w:rsidP="00EC7D55">
      <w:pPr>
        <w:shd w:val="clear" w:color="auto" w:fill="FFFFFF"/>
        <w:suppressAutoHyphens/>
        <w:ind w:firstLine="480"/>
        <w:contextualSpacing/>
        <w:jc w:val="both"/>
        <w:textAlignment w:val="baseline"/>
        <w:rPr>
          <w:szCs w:val="28"/>
        </w:rPr>
      </w:pPr>
    </w:p>
    <w:p w:rsidR="00226798" w:rsidRPr="00226798" w:rsidRDefault="00226798" w:rsidP="00EC7D55">
      <w:pPr>
        <w:shd w:val="clear" w:color="auto" w:fill="FFFFFF"/>
        <w:suppressAutoHyphens/>
        <w:ind w:firstLine="480"/>
        <w:contextualSpacing/>
        <w:jc w:val="both"/>
        <w:textAlignment w:val="baseline"/>
        <w:rPr>
          <w:szCs w:val="28"/>
        </w:rPr>
      </w:pPr>
      <w:r>
        <w:rPr>
          <w:szCs w:val="28"/>
        </w:rPr>
        <w:t>В</w:t>
      </w:r>
      <w:r w:rsidRPr="00226798">
        <w:rPr>
          <w:szCs w:val="28"/>
        </w:rPr>
        <w:t xml:space="preserve"> соответствии с </w:t>
      </w:r>
      <w:hyperlink r:id="rId9" w:history="1">
        <w:r w:rsidRPr="00226798">
          <w:rPr>
            <w:szCs w:val="28"/>
          </w:rPr>
          <w:t>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</w:t>
        </w:r>
      </w:hyperlink>
      <w:r>
        <w:rPr>
          <w:szCs w:val="28"/>
        </w:rPr>
        <w:t xml:space="preserve">, </w:t>
      </w:r>
      <w:r w:rsidRPr="00226798">
        <w:rPr>
          <w:szCs w:val="28"/>
        </w:rPr>
        <w:t xml:space="preserve">с частью 2 статьи 18.1 Федерального закона от 6 октября 2003 года </w:t>
      </w:r>
      <w:r>
        <w:rPr>
          <w:szCs w:val="28"/>
        </w:rPr>
        <w:t>№</w:t>
      </w:r>
      <w:r w:rsidRPr="00226798">
        <w:rPr>
          <w:szCs w:val="28"/>
        </w:rPr>
        <w:t xml:space="preserve"> 131-ФЗ </w:t>
      </w:r>
      <w:r>
        <w:rPr>
          <w:szCs w:val="28"/>
        </w:rPr>
        <w:t>«</w:t>
      </w:r>
      <w:r w:rsidRPr="00226798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»,</w:t>
      </w:r>
      <w:r w:rsidRPr="00226798">
        <w:rPr>
          <w:szCs w:val="28"/>
        </w:rPr>
        <w:t> </w:t>
      </w:r>
      <w:hyperlink r:id="rId10" w:history="1">
        <w:r w:rsidRPr="00226798">
          <w:rPr>
            <w:szCs w:val="28"/>
          </w:rPr>
          <w:t>постановлением Правительства Российской Федерации от 17.12.2012 № 1317</w:t>
        </w:r>
      </w:hyperlink>
      <w:r w:rsidRPr="00226798">
        <w:rPr>
          <w:szCs w:val="28"/>
        </w:rPr>
        <w:t xml:space="preserve">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07.05.2012 № 601 «Об основных направлениях совершенствования системы государственного управления», распоряжением Правительства Камчатского края от 21.09.2009 № 428-РП «Об утверждении Правил проведения оценки эффективности деятельности органов местного самоуправления городских </w:t>
      </w:r>
      <w:r w:rsidRPr="00226798">
        <w:rPr>
          <w:szCs w:val="28"/>
        </w:rPr>
        <w:lastRenderedPageBreak/>
        <w:t>округов и муниципальных районов в Камчатском крае для выделения из краевого бюджета грантов»</w:t>
      </w:r>
    </w:p>
    <w:p w:rsidR="00226798" w:rsidRDefault="00226798" w:rsidP="00EC7D55">
      <w:pPr>
        <w:ind w:firstLine="720"/>
        <w:jc w:val="both"/>
      </w:pPr>
    </w:p>
    <w:p w:rsidR="00226798" w:rsidRDefault="00226798" w:rsidP="00EC7D55">
      <w:pPr>
        <w:ind w:firstLine="720"/>
        <w:jc w:val="both"/>
      </w:pPr>
      <w:r>
        <w:t>ПРАВИТЕЛЬСТВО ПОСТАНОВЛЯЕТ:</w:t>
      </w:r>
    </w:p>
    <w:p w:rsidR="00226798" w:rsidRDefault="00226798" w:rsidP="00EC7D55">
      <w:pPr>
        <w:ind w:firstLine="720"/>
        <w:jc w:val="both"/>
      </w:pPr>
    </w:p>
    <w:p w:rsidR="00226798" w:rsidRPr="00B327CD" w:rsidRDefault="00226798" w:rsidP="00EC7D55">
      <w:pPr>
        <w:ind w:firstLine="709"/>
        <w:jc w:val="both"/>
      </w:pPr>
      <w:r w:rsidRPr="00B327CD">
        <w:t>1. Утвердить Порядок выделения из краевого бюджета грантов городским округам, муниципальным округам и муниципальным районам в Камчатском крае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округов, муниципальных округов и муниципальных районов в Камчатском крае согласно приложению к настоящему постановлению.</w:t>
      </w:r>
    </w:p>
    <w:p w:rsidR="00226798" w:rsidRDefault="00226798" w:rsidP="00EC7D55">
      <w:pPr>
        <w:ind w:firstLine="709"/>
        <w:jc w:val="both"/>
      </w:pPr>
      <w:r w:rsidRPr="00B327CD">
        <w:t>2. Настоящее постановление вступает в силу после дня его официального опубликования.</w:t>
      </w:r>
    </w:p>
    <w:p w:rsidR="00EC7D55" w:rsidRDefault="00EC7D55" w:rsidP="00EC7D55">
      <w:pPr>
        <w:ind w:firstLine="709"/>
        <w:jc w:val="both"/>
      </w:pPr>
    </w:p>
    <w:p w:rsidR="00EC7D55" w:rsidRDefault="00EC7D55" w:rsidP="00EC7D55">
      <w:pPr>
        <w:ind w:firstLine="709"/>
        <w:jc w:val="both"/>
      </w:pPr>
    </w:p>
    <w:p w:rsidR="00452B42" w:rsidRDefault="00452B42" w:rsidP="00D0004F">
      <w:pPr>
        <w:jc w:val="both"/>
      </w:pPr>
    </w:p>
    <w:tbl>
      <w:tblPr>
        <w:tblStyle w:val="af7"/>
        <w:tblW w:w="9815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4145"/>
        <w:gridCol w:w="2943"/>
        <w:gridCol w:w="2727"/>
      </w:tblGrid>
      <w:tr w:rsidR="008847E2">
        <w:trPr>
          <w:trHeight w:val="1936"/>
        </w:trPr>
        <w:tc>
          <w:tcPr>
            <w:tcW w:w="4145" w:type="dxa"/>
            <w:shd w:val="clear" w:color="auto" w:fill="auto"/>
          </w:tcPr>
          <w:p w:rsidR="008847E2" w:rsidRDefault="00226798">
            <w:pPr>
              <w:ind w:left="30"/>
            </w:pPr>
            <w:r>
              <w:t>Исполняющий обязанности Председателя Правительства - Первого вице-губернатора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8847E2" w:rsidRDefault="00E14759">
            <w:bookmarkStart w:id="1" w:name="bookmark=id.gjdgxs" w:colFirst="0" w:colLast="0"/>
            <w:bookmarkEnd w:id="1"/>
            <w:r>
              <w:t>[горизонтальный штамп подписи 1]</w:t>
            </w:r>
          </w:p>
          <w:p w:rsidR="008847E2" w:rsidRDefault="008847E2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8847E2" w:rsidRDefault="008847E2">
            <w:pPr>
              <w:ind w:left="142" w:right="126" w:hanging="142"/>
              <w:jc w:val="right"/>
            </w:pPr>
          </w:p>
          <w:p w:rsidR="008847E2" w:rsidRDefault="008847E2">
            <w:pPr>
              <w:ind w:left="142" w:right="126" w:hanging="142"/>
              <w:jc w:val="right"/>
            </w:pPr>
          </w:p>
          <w:p w:rsidR="00226798" w:rsidRDefault="00226798">
            <w:pPr>
              <w:ind w:left="142" w:right="141" w:hanging="142"/>
              <w:jc w:val="right"/>
            </w:pPr>
          </w:p>
          <w:p w:rsidR="008847E2" w:rsidRDefault="00226798">
            <w:pPr>
              <w:ind w:left="142" w:right="141" w:hanging="142"/>
              <w:jc w:val="right"/>
            </w:pPr>
            <w:r>
              <w:t>С.В. Нехаев</w:t>
            </w:r>
          </w:p>
        </w:tc>
      </w:tr>
    </w:tbl>
    <w:p w:rsidR="008B19B9" w:rsidRDefault="008B19B9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E3012D" w:rsidRDefault="00E3012D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89721A" w:rsidRPr="0089721A" w:rsidRDefault="0089721A" w:rsidP="0089721A">
      <w:pPr>
        <w:widowControl w:val="0"/>
        <w:autoSpaceDE w:val="0"/>
        <w:autoSpaceDN w:val="0"/>
        <w:ind w:left="5245"/>
        <w:rPr>
          <w:szCs w:val="20"/>
        </w:rPr>
      </w:pPr>
      <w:r w:rsidRPr="0089721A">
        <w:rPr>
          <w:szCs w:val="28"/>
        </w:rPr>
        <w:lastRenderedPageBreak/>
        <w:t>Приложение к постановлению</w:t>
      </w:r>
    </w:p>
    <w:p w:rsidR="0089721A" w:rsidRPr="0089721A" w:rsidRDefault="0089721A" w:rsidP="0089721A">
      <w:pPr>
        <w:widowControl w:val="0"/>
        <w:autoSpaceDE w:val="0"/>
        <w:autoSpaceDN w:val="0"/>
        <w:ind w:left="5245"/>
        <w:rPr>
          <w:szCs w:val="28"/>
        </w:rPr>
      </w:pPr>
      <w:r w:rsidRPr="0089721A">
        <w:rPr>
          <w:szCs w:val="28"/>
        </w:rPr>
        <w:t>Правительства Камчатского края</w:t>
      </w:r>
    </w:p>
    <w:p w:rsidR="0089721A" w:rsidRPr="0089721A" w:rsidRDefault="0089721A" w:rsidP="0089721A">
      <w:pPr>
        <w:widowControl w:val="0"/>
        <w:autoSpaceDE w:val="0"/>
        <w:autoSpaceDN w:val="0"/>
        <w:ind w:left="5245"/>
        <w:rPr>
          <w:szCs w:val="28"/>
        </w:rPr>
      </w:pPr>
      <w:r w:rsidRPr="0089721A">
        <w:rPr>
          <w:szCs w:val="28"/>
        </w:rPr>
        <w:t>от</w:t>
      </w:r>
      <w:r w:rsidRPr="0089721A">
        <w:rPr>
          <w:sz w:val="24"/>
          <w:szCs w:val="28"/>
        </w:rPr>
        <w:t xml:space="preserve"> </w:t>
      </w:r>
      <w:r w:rsidRPr="0089721A">
        <w:rPr>
          <w:sz w:val="22"/>
          <w:szCs w:val="22"/>
        </w:rPr>
        <w:t>[</w:t>
      </w:r>
      <w:r w:rsidRPr="0089721A">
        <w:rPr>
          <w:color w:val="E7E6E6"/>
          <w:sz w:val="22"/>
          <w:szCs w:val="22"/>
        </w:rPr>
        <w:t>Дата регистрации</w:t>
      </w:r>
      <w:r w:rsidRPr="0089721A">
        <w:rPr>
          <w:sz w:val="22"/>
          <w:szCs w:val="22"/>
        </w:rPr>
        <w:t xml:space="preserve">] </w:t>
      </w:r>
      <w:r w:rsidRPr="0089721A">
        <w:rPr>
          <w:szCs w:val="22"/>
        </w:rPr>
        <w:t>№</w:t>
      </w:r>
      <w:r w:rsidRPr="0089721A">
        <w:rPr>
          <w:sz w:val="22"/>
          <w:szCs w:val="22"/>
        </w:rPr>
        <w:t xml:space="preserve"> [</w:t>
      </w:r>
      <w:r w:rsidRPr="0089721A">
        <w:rPr>
          <w:color w:val="E7E6E6"/>
          <w:sz w:val="22"/>
          <w:szCs w:val="22"/>
        </w:rPr>
        <w:t>Номер документа</w:t>
      </w:r>
      <w:r w:rsidRPr="0089721A">
        <w:rPr>
          <w:sz w:val="22"/>
          <w:szCs w:val="22"/>
        </w:rPr>
        <w:t>]</w:t>
      </w:r>
    </w:p>
    <w:p w:rsidR="008847E2" w:rsidRDefault="008847E2"/>
    <w:p w:rsidR="008847E2" w:rsidRDefault="008847E2"/>
    <w:p w:rsidR="00226798" w:rsidRDefault="00226798" w:rsidP="00226798">
      <w:pPr>
        <w:jc w:val="center"/>
      </w:pPr>
      <w:r>
        <w:t>Порядок</w:t>
      </w:r>
    </w:p>
    <w:p w:rsidR="008847E2" w:rsidRDefault="00226798" w:rsidP="00226798">
      <w:pPr>
        <w:jc w:val="center"/>
      </w:pPr>
      <w:r>
        <w:t>выделения из краевого бюджета грантов городским округам, муниципальным округам и муниципальным районам в Камчатском крае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округов, муниципальных округов и муниципальных районов в Камчатском крае</w:t>
      </w:r>
    </w:p>
    <w:p w:rsidR="00226798" w:rsidRDefault="00226798">
      <w:pPr>
        <w:jc w:val="center"/>
      </w:pPr>
    </w:p>
    <w:p w:rsidR="008847E2" w:rsidRDefault="00E14759" w:rsidP="00EC7D55">
      <w:pPr>
        <w:pStyle w:val="ad"/>
        <w:numPr>
          <w:ilvl w:val="0"/>
          <w:numId w:val="4"/>
        </w:numPr>
        <w:ind w:left="0" w:firstLine="0"/>
        <w:jc w:val="center"/>
      </w:pPr>
      <w:r>
        <w:t>Общие положения</w:t>
      </w:r>
    </w:p>
    <w:p w:rsidR="00EC7D55" w:rsidRDefault="00EC7D55" w:rsidP="00EC7D55">
      <w:pPr>
        <w:pStyle w:val="ad"/>
      </w:pPr>
    </w:p>
    <w:p w:rsidR="00EC7D55" w:rsidRPr="00EC7D55" w:rsidRDefault="00EC7D55" w:rsidP="00EC7D55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  <w:r w:rsidRPr="00EC7D55">
        <w:rPr>
          <w:szCs w:val="28"/>
        </w:rPr>
        <w:t>1.1. Настоящий Порядок выделения из краевого бюджета грантов городским округам, муниципальным округам и муниципальным районам в Камчатском крае в целях содействия достижению и (или) поощрения достижения наилучших значений показателей деятельности органов местного самоуправления городских, муниципальных округов и муниципальных районов в Камчатском крае (далее - Порядок) устанавливает процедуру определения размера и выделения грантов городским округам, муниципальным округам и муниципальным районам (далее-муниципальным образованиям) в Камчатском крае.</w:t>
      </w:r>
    </w:p>
    <w:p w:rsidR="00EC7D55" w:rsidRPr="00EC7D55" w:rsidRDefault="00EC7D55" w:rsidP="00EC7D55">
      <w:pPr>
        <w:shd w:val="clear" w:color="auto" w:fill="FFFFFF"/>
        <w:suppressAutoHyphens/>
        <w:ind w:firstLine="480"/>
        <w:contextualSpacing/>
        <w:jc w:val="both"/>
        <w:textAlignment w:val="baseline"/>
        <w:rPr>
          <w:szCs w:val="28"/>
        </w:rPr>
      </w:pPr>
      <w:r w:rsidRPr="00EC7D55">
        <w:rPr>
          <w:szCs w:val="28"/>
        </w:rPr>
        <w:t xml:space="preserve">1.2. Порядок разработан в соответствии </w:t>
      </w:r>
      <w:r w:rsidR="00E3012D" w:rsidRPr="00E3012D">
        <w:rPr>
          <w:szCs w:val="28"/>
        </w:rPr>
        <w:t>с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районов», с частью 2 статьи 18.1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17.12.2012 № 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07.05.2012 № 601 «Об основных направлениях совершенствования системы государственного управления», распоряжением Правительства Камчатского края от 21.09.2009 № 428-РП «Об утверждении Правил проведения оценки эффективности деятельности органов местного самоуправления городских округов и муниципальных районов в Камчатском крае для выделения из краевого бюджета грантов»</w:t>
      </w:r>
      <w:r w:rsidRPr="00EC7D55">
        <w:rPr>
          <w:szCs w:val="28"/>
        </w:rPr>
        <w:t>.</w:t>
      </w:r>
    </w:p>
    <w:p w:rsidR="00EC7D55" w:rsidRPr="00EC7D55" w:rsidRDefault="00EC7D55" w:rsidP="00EC7D55">
      <w:pPr>
        <w:shd w:val="clear" w:color="auto" w:fill="FFFFFF"/>
        <w:suppressAutoHyphens/>
        <w:ind w:firstLine="480"/>
        <w:contextualSpacing/>
        <w:jc w:val="both"/>
        <w:textAlignment w:val="baseline"/>
        <w:rPr>
          <w:szCs w:val="28"/>
        </w:rPr>
      </w:pPr>
      <w:r w:rsidRPr="00EC7D55">
        <w:rPr>
          <w:szCs w:val="28"/>
        </w:rPr>
        <w:t>1.3. Предоставление грантов муниципальным образования</w:t>
      </w:r>
      <w:r w:rsidR="00E3012D">
        <w:rPr>
          <w:szCs w:val="28"/>
        </w:rPr>
        <w:t>м</w:t>
      </w:r>
      <w:r w:rsidRPr="00EC7D55">
        <w:rPr>
          <w:szCs w:val="28"/>
        </w:rPr>
        <w:t xml:space="preserve"> в Камчатском крае осуществляется за достижение наилучших значений показателей деятельности органов местного самоуправления муниципальных образований в Камчатском крае по результатам комплексной и экспертной оценки </w:t>
      </w:r>
      <w:r w:rsidRPr="00EC7D55">
        <w:rPr>
          <w:szCs w:val="28"/>
        </w:rPr>
        <w:lastRenderedPageBreak/>
        <w:t>эффективности деятельности органов местного самоуправления</w:t>
      </w:r>
      <w:r w:rsidRPr="00EC7D55">
        <w:rPr>
          <w:rFonts w:asciiTheme="minorHAnsi" w:eastAsiaTheme="minorHAnsi" w:hAnsiTheme="minorHAnsi" w:cstheme="minorBidi"/>
          <w:szCs w:val="28"/>
          <w:lang w:eastAsia="en-US"/>
        </w:rPr>
        <w:t xml:space="preserve"> </w:t>
      </w:r>
      <w:r w:rsidRPr="00EC7D55">
        <w:rPr>
          <w:szCs w:val="28"/>
        </w:rPr>
        <w:t>муниципальных образований в Камчатском крае.</w:t>
      </w:r>
    </w:p>
    <w:p w:rsidR="00EC7D55" w:rsidRPr="00EC7D55" w:rsidRDefault="00EC7D55" w:rsidP="00EC7D55">
      <w:pPr>
        <w:shd w:val="clear" w:color="auto" w:fill="FFFFFF"/>
        <w:suppressAutoHyphens/>
        <w:ind w:firstLine="480"/>
        <w:contextualSpacing/>
        <w:jc w:val="both"/>
        <w:textAlignment w:val="baseline"/>
        <w:rPr>
          <w:szCs w:val="28"/>
        </w:rPr>
      </w:pPr>
      <w:r w:rsidRPr="00EC7D55">
        <w:rPr>
          <w:szCs w:val="28"/>
        </w:rPr>
        <w:t>1.4. Гранты выделяются муниципальным образованиям в Камчатском крае в форме иных межбюджетных трансфертов из краевого бюджета. Общий объем иных межбюджетных трансфертов утверждается законом о бюджете Камчатского края на очередной финансовый год и плановый период.</w:t>
      </w:r>
    </w:p>
    <w:p w:rsidR="00EC7D55" w:rsidRPr="00EC7D55" w:rsidRDefault="00EC7D55" w:rsidP="00EC7D55">
      <w:pPr>
        <w:shd w:val="clear" w:color="auto" w:fill="FFFFFF"/>
        <w:suppressAutoHyphens/>
        <w:ind w:firstLine="480"/>
        <w:contextualSpacing/>
        <w:jc w:val="both"/>
        <w:textAlignment w:val="baseline"/>
        <w:rPr>
          <w:szCs w:val="28"/>
        </w:rPr>
      </w:pPr>
      <w:r w:rsidRPr="00EC7D55">
        <w:rPr>
          <w:szCs w:val="28"/>
        </w:rPr>
        <w:t>Главным распорядителем иных межбюджетных трансфертов, направляемых на выделение грантов муниципальным образованиям в Камчатском крае, является Министерство по делам местного самоуправления и развитию Корякского округа Камчатского края.</w:t>
      </w:r>
    </w:p>
    <w:p w:rsidR="00EC7D55" w:rsidRPr="00EC7D55" w:rsidRDefault="00EC7D55" w:rsidP="00EC7D55">
      <w:pPr>
        <w:shd w:val="clear" w:color="auto" w:fill="FFFFFF"/>
        <w:suppressAutoHyphens/>
        <w:ind w:firstLine="480"/>
        <w:contextualSpacing/>
        <w:jc w:val="both"/>
        <w:textAlignment w:val="baseline"/>
        <w:rPr>
          <w:szCs w:val="28"/>
        </w:rPr>
      </w:pPr>
      <w:r w:rsidRPr="00EC7D55">
        <w:rPr>
          <w:szCs w:val="28"/>
        </w:rPr>
        <w:t>1.5. Предоставление грантов муниципальным образованиям в Камчатском крае осуществляется ежегодно в срок до 5 ноября года, следующего за отчетным в соответствии с кассовым планом исполнения бюджета Камчатского края.</w:t>
      </w:r>
    </w:p>
    <w:p w:rsidR="00EC7D55" w:rsidRPr="00EC7D55" w:rsidRDefault="00EC7D55" w:rsidP="00EC7D55">
      <w:pPr>
        <w:shd w:val="clear" w:color="auto" w:fill="FFFFFF"/>
        <w:suppressAutoHyphens/>
        <w:contextualSpacing/>
        <w:jc w:val="center"/>
        <w:textAlignment w:val="baseline"/>
        <w:outlineLvl w:val="2"/>
        <w:rPr>
          <w:b/>
          <w:bCs/>
          <w:szCs w:val="28"/>
        </w:rPr>
      </w:pPr>
    </w:p>
    <w:p w:rsidR="00EC7D55" w:rsidRPr="00EC7D55" w:rsidRDefault="00EC7D55" w:rsidP="00EC7D55">
      <w:pPr>
        <w:shd w:val="clear" w:color="auto" w:fill="FFFFFF"/>
        <w:suppressAutoHyphens/>
        <w:contextualSpacing/>
        <w:jc w:val="center"/>
        <w:textAlignment w:val="baseline"/>
        <w:outlineLvl w:val="2"/>
        <w:rPr>
          <w:b/>
          <w:bCs/>
          <w:szCs w:val="28"/>
        </w:rPr>
      </w:pPr>
      <w:r w:rsidRPr="00EC7D55">
        <w:rPr>
          <w:b/>
          <w:bCs/>
          <w:szCs w:val="28"/>
        </w:rPr>
        <w:t>II. Определение размера гранта</w:t>
      </w:r>
    </w:p>
    <w:p w:rsidR="00EC7D55" w:rsidRPr="00EC7D55" w:rsidRDefault="00EC7D55" w:rsidP="00EC7D55">
      <w:pPr>
        <w:shd w:val="clear" w:color="auto" w:fill="FFFFFF"/>
        <w:suppressAutoHyphens/>
        <w:contextualSpacing/>
        <w:jc w:val="both"/>
        <w:textAlignment w:val="baseline"/>
        <w:rPr>
          <w:szCs w:val="28"/>
        </w:rPr>
      </w:pPr>
    </w:p>
    <w:p w:rsidR="00EC7D55" w:rsidRPr="00EC7D55" w:rsidRDefault="00EC7D55" w:rsidP="00EC7D55">
      <w:pPr>
        <w:shd w:val="clear" w:color="auto" w:fill="FFFFFF"/>
        <w:suppressAutoHyphens/>
        <w:ind w:firstLine="480"/>
        <w:contextualSpacing/>
        <w:jc w:val="both"/>
        <w:textAlignment w:val="baseline"/>
        <w:rPr>
          <w:szCs w:val="28"/>
        </w:rPr>
      </w:pPr>
      <w:r w:rsidRPr="00EC7D55">
        <w:rPr>
          <w:szCs w:val="28"/>
        </w:rPr>
        <w:t>2.1. По результатам оценки эффективности деятельности органов местного самоуправления муниципальных образований в Камчатском крае Министерство по делам местного самоуправления и развитию Корякского округа Камчатского края определяет 4 муниципальных образования для предоставления грантов отдельно по группам:</w:t>
      </w:r>
    </w:p>
    <w:p w:rsidR="00EC7D55" w:rsidRPr="00EC7D55" w:rsidRDefault="00EC7D55" w:rsidP="00EC7D55">
      <w:pPr>
        <w:shd w:val="clear" w:color="auto" w:fill="FFFFFF"/>
        <w:suppressAutoHyphens/>
        <w:ind w:firstLine="480"/>
        <w:contextualSpacing/>
        <w:jc w:val="both"/>
        <w:textAlignment w:val="baseline"/>
        <w:rPr>
          <w:szCs w:val="28"/>
        </w:rPr>
      </w:pPr>
      <w:r w:rsidRPr="00EC7D55">
        <w:rPr>
          <w:szCs w:val="28"/>
        </w:rPr>
        <w:t>I группа - среди городских и муниципальных округов;</w:t>
      </w:r>
    </w:p>
    <w:p w:rsidR="00EC7D55" w:rsidRPr="00EC7D55" w:rsidRDefault="00EC7D55" w:rsidP="00EC7D55">
      <w:pPr>
        <w:shd w:val="clear" w:color="auto" w:fill="FFFFFF"/>
        <w:suppressAutoHyphens/>
        <w:ind w:firstLine="480"/>
        <w:contextualSpacing/>
        <w:jc w:val="both"/>
        <w:textAlignment w:val="baseline"/>
        <w:rPr>
          <w:szCs w:val="28"/>
        </w:rPr>
      </w:pPr>
      <w:r w:rsidRPr="00EC7D55">
        <w:rPr>
          <w:szCs w:val="28"/>
        </w:rPr>
        <w:t>II группа - среди муниципальных районов.</w:t>
      </w:r>
    </w:p>
    <w:p w:rsidR="00EC7D55" w:rsidRPr="00EC7D55" w:rsidRDefault="00EC7D55" w:rsidP="00EC7D55">
      <w:pPr>
        <w:shd w:val="clear" w:color="auto" w:fill="FFFFFF"/>
        <w:suppressAutoHyphens/>
        <w:ind w:firstLine="480"/>
        <w:contextualSpacing/>
        <w:jc w:val="both"/>
        <w:textAlignment w:val="baseline"/>
        <w:rPr>
          <w:szCs w:val="28"/>
        </w:rPr>
      </w:pPr>
      <w:r w:rsidRPr="00EC7D55">
        <w:rPr>
          <w:szCs w:val="28"/>
        </w:rPr>
        <w:t>По первой группе гранты выделяются одному муниципальному образованию, по второй группе - трем муниципальным образованиям.</w:t>
      </w:r>
    </w:p>
    <w:p w:rsidR="00EC7D55" w:rsidRPr="00EC7D55" w:rsidRDefault="00EC7D55" w:rsidP="00EC7D55">
      <w:pPr>
        <w:shd w:val="clear" w:color="auto" w:fill="FFFFFF"/>
        <w:suppressAutoHyphens/>
        <w:ind w:firstLine="480"/>
        <w:contextualSpacing/>
        <w:jc w:val="both"/>
        <w:textAlignment w:val="baseline"/>
        <w:rPr>
          <w:rFonts w:eastAsiaTheme="minorHAnsi"/>
          <w:szCs w:val="28"/>
          <w:lang w:eastAsia="en-US"/>
        </w:rPr>
      </w:pPr>
      <w:r w:rsidRPr="00EC7D55">
        <w:rPr>
          <w:szCs w:val="28"/>
        </w:rPr>
        <w:t>2.2. Размер гранта i-му муниципальному образованию в Камчатском крае, претендующему на получение гранта (</w:t>
      </w:r>
      <w:r w:rsidRPr="00EC7D55">
        <w:rPr>
          <w:rFonts w:eastAsiaTheme="minorHAnsi"/>
          <w:sz w:val="32"/>
          <w:szCs w:val="32"/>
          <w:lang w:eastAsia="en-US"/>
        </w:rPr>
        <w:t>Г</w:t>
      </w:r>
      <w:r w:rsidRPr="00EC7D55">
        <w:rPr>
          <w:rFonts w:eastAsiaTheme="minorHAnsi"/>
          <w:sz w:val="32"/>
          <w:szCs w:val="32"/>
          <w:vertAlign w:val="subscript"/>
          <w:lang w:eastAsia="en-US"/>
        </w:rPr>
        <w:t>i</w:t>
      </w:r>
      <w:r w:rsidRPr="00EC7D55">
        <w:rPr>
          <w:szCs w:val="28"/>
        </w:rPr>
        <w:t xml:space="preserve">), определяется </w:t>
      </w:r>
      <w:r w:rsidRPr="00EC7D55">
        <w:rPr>
          <w:rFonts w:eastAsiaTheme="minorHAnsi"/>
          <w:szCs w:val="28"/>
          <w:lang w:eastAsia="en-US"/>
        </w:rPr>
        <w:t>по формуле:</w:t>
      </w:r>
    </w:p>
    <w:p w:rsidR="00EC7D55" w:rsidRPr="00EC7D55" w:rsidRDefault="00EC7D55" w:rsidP="00EC7D55">
      <w:pPr>
        <w:shd w:val="clear" w:color="auto" w:fill="FFFFFF"/>
        <w:suppressAutoHyphens/>
        <w:ind w:firstLine="480"/>
        <w:contextualSpacing/>
        <w:jc w:val="both"/>
        <w:textAlignment w:val="baseline"/>
        <w:rPr>
          <w:rFonts w:eastAsiaTheme="minorHAnsi"/>
          <w:szCs w:val="28"/>
          <w:lang w:eastAsia="en-US"/>
        </w:rPr>
      </w:pPr>
    </w:p>
    <w:p w:rsidR="00EC7D55" w:rsidRPr="00EC7D55" w:rsidRDefault="007B6AF0" w:rsidP="00EC7D55">
      <w:pPr>
        <w:spacing w:after="160" w:line="259" w:lineRule="auto"/>
        <w:jc w:val="center"/>
        <w:rPr>
          <w:rFonts w:eastAsiaTheme="minorEastAsia"/>
          <w:sz w:val="40"/>
          <w:szCs w:val="40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40"/>
                <w:szCs w:val="4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40"/>
                <w:szCs w:val="40"/>
                <w:lang w:eastAsia="en-US"/>
              </w:rPr>
              <m:t>Г</m:t>
            </m:r>
          </m:e>
          <m:sub>
            <m:r>
              <w:rPr>
                <w:rFonts w:ascii="Cambria Math" w:eastAsiaTheme="minorHAnsi" w:hAnsi="Cambria Math"/>
                <w:sz w:val="40"/>
                <w:szCs w:val="40"/>
                <w:lang w:val="en-US" w:eastAsia="en-US"/>
              </w:rPr>
              <m:t>i</m:t>
            </m:r>
          </m:sub>
        </m:sSub>
        <m:r>
          <w:rPr>
            <w:rFonts w:ascii="Cambria Math" w:eastAsiaTheme="minorHAnsi" w:hAnsi="Cambria Math"/>
            <w:sz w:val="40"/>
            <w:szCs w:val="40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sz w:val="40"/>
                <w:szCs w:val="40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/>
                    <w:i/>
                    <w:sz w:val="40"/>
                    <w:szCs w:val="40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sz w:val="40"/>
                    <w:szCs w:val="40"/>
                    <w:lang w:eastAsia="en-US"/>
                  </w:rPr>
                  <m:t>Э</m:t>
                </m:r>
              </m:e>
              <m:sub>
                <m:r>
                  <w:rPr>
                    <w:rFonts w:ascii="Cambria Math" w:eastAsiaTheme="minorHAnsi" w:hAnsi="Cambria Math"/>
                    <w:sz w:val="40"/>
                    <w:szCs w:val="40"/>
                    <w:lang w:eastAsia="en-US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i/>
                    <w:sz w:val="40"/>
                    <w:szCs w:val="40"/>
                    <w:lang w:eastAsia="en-US"/>
                  </w:rPr>
                </m:ctrlPr>
              </m:naryPr>
              <m:sub>
                <m:r>
                  <w:rPr>
                    <w:rFonts w:ascii="Cambria Math" w:eastAsiaTheme="minorHAnsi" w:hAnsi="Cambria Math"/>
                    <w:sz w:val="40"/>
                    <w:szCs w:val="40"/>
                    <w:lang w:eastAsia="en-US"/>
                  </w:rPr>
                  <m:t>i=1</m:t>
                </m:r>
              </m:sub>
              <m:sup>
                <m:r>
                  <w:rPr>
                    <w:rFonts w:ascii="Cambria Math" w:eastAsiaTheme="minorHAnsi" w:hAnsi="Cambria Math"/>
                    <w:sz w:val="40"/>
                    <w:szCs w:val="40"/>
                    <w:lang w:eastAsia="en-US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40"/>
                        <w:szCs w:val="40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40"/>
                        <w:szCs w:val="40"/>
                        <w:lang w:eastAsia="en-US"/>
                      </w:rPr>
                      <m:t>Э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40"/>
                        <w:szCs w:val="40"/>
                        <w:lang w:val="en-US" w:eastAsia="en-US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eastAsiaTheme="minorHAnsi" w:hAnsi="Cambria Math"/>
            <w:sz w:val="40"/>
            <w:szCs w:val="40"/>
            <w:lang w:eastAsia="en-US"/>
          </w:rPr>
          <m:t>*</m:t>
        </m:r>
        <m:sSub>
          <m:sSubPr>
            <m:ctrlPr>
              <w:rPr>
                <w:rFonts w:ascii="Cambria Math" w:eastAsiaTheme="minorHAnsi" w:hAnsi="Cambria Math"/>
                <w:i/>
                <w:sz w:val="40"/>
                <w:szCs w:val="4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40"/>
                <w:szCs w:val="40"/>
                <w:lang w:eastAsia="en-US"/>
              </w:rPr>
              <m:t>Г</m:t>
            </m:r>
          </m:e>
          <m:sub>
            <m:r>
              <w:rPr>
                <w:rFonts w:ascii="Cambria Math" w:eastAsiaTheme="minorHAnsi" w:hAnsi="Cambria Math"/>
                <w:sz w:val="40"/>
                <w:szCs w:val="40"/>
                <w:lang w:eastAsia="en-US"/>
              </w:rPr>
              <m:t>о</m:t>
            </m:r>
          </m:sub>
        </m:sSub>
      </m:oMath>
      <w:r w:rsidR="00EC7D55" w:rsidRPr="00EC7D55">
        <w:rPr>
          <w:rFonts w:eastAsiaTheme="minorEastAsia"/>
          <w:sz w:val="40"/>
          <w:szCs w:val="40"/>
          <w:lang w:eastAsia="en-US"/>
        </w:rPr>
        <w:t xml:space="preserve">   </w:t>
      </w:r>
      <w:r w:rsidR="00EC7D55" w:rsidRPr="00EC7D55">
        <w:rPr>
          <w:rFonts w:eastAsiaTheme="minorHAnsi"/>
          <w:sz w:val="40"/>
          <w:szCs w:val="40"/>
          <w:lang w:eastAsia="en-US"/>
        </w:rPr>
        <w:t>,</w:t>
      </w:r>
    </w:p>
    <w:p w:rsidR="00EC7D55" w:rsidRPr="00EC7D55" w:rsidRDefault="00EC7D55" w:rsidP="00EC7D55">
      <w:pPr>
        <w:shd w:val="clear" w:color="auto" w:fill="FFFFFF"/>
        <w:suppressAutoHyphens/>
        <w:spacing w:line="276" w:lineRule="auto"/>
        <w:ind w:firstLine="709"/>
        <w:contextualSpacing/>
        <w:jc w:val="both"/>
        <w:textAlignment w:val="baseline"/>
        <w:rPr>
          <w:szCs w:val="28"/>
        </w:rPr>
      </w:pPr>
      <w:r w:rsidRPr="00EC7D55">
        <w:rPr>
          <w:szCs w:val="28"/>
        </w:rPr>
        <w:t>где:</w:t>
      </w:r>
    </w:p>
    <w:p w:rsidR="00EC7D55" w:rsidRPr="00EC7D55" w:rsidRDefault="007B6AF0" w:rsidP="00EC7D55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Cs w:val="28"/>
              </w:rPr>
              <m:t>i</m:t>
            </m:r>
          </m:sub>
        </m:sSub>
      </m:oMath>
      <w:r w:rsidR="00EC7D55" w:rsidRPr="00EC7D55">
        <w:rPr>
          <w:szCs w:val="28"/>
        </w:rPr>
        <w:t>- значение оценки эффективности i-го муниципального образования - претендента на получение гранта;</w:t>
      </w:r>
    </w:p>
    <w:p w:rsidR="00EC7D55" w:rsidRPr="00EC7D55" w:rsidRDefault="00EC7D55" w:rsidP="00EC7D55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EC7D55">
        <w:rPr>
          <w:szCs w:val="28"/>
        </w:rPr>
        <w:t>М - число муниципальных образований - получателей грантов;</w:t>
      </w:r>
    </w:p>
    <w:p w:rsidR="00EC7D55" w:rsidRPr="00EC7D55" w:rsidRDefault="007B6AF0" w:rsidP="00EC7D55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Г</m:t>
            </m:r>
          </m:e>
          <m:sub>
            <m:r>
              <w:rPr>
                <w:rFonts w:ascii="Cambria Math" w:hAnsi="Cambria Math"/>
                <w:szCs w:val="28"/>
              </w:rPr>
              <m:t>о</m:t>
            </m:r>
          </m:sub>
        </m:sSub>
      </m:oMath>
      <w:r w:rsidR="00EC7D55" w:rsidRPr="00EC7D55">
        <w:rPr>
          <w:szCs w:val="28"/>
        </w:rPr>
        <w:t>- общий размер грантов, предусмотренный законом о бюджете Камчатского края на соответствующий финансовый год.</w:t>
      </w:r>
    </w:p>
    <w:p w:rsidR="00EC7D55" w:rsidRPr="00EC7D55" w:rsidRDefault="00EC7D55" w:rsidP="00EC7D55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  <w:r w:rsidRPr="00EC7D55">
        <w:rPr>
          <w:szCs w:val="28"/>
        </w:rPr>
        <w:t>2.3. Выделение грантов муниципальным образованиям в Камчатском крае производится в соответствии с распоряжением Губернатора Камчатского края, подготовленным Министерством по делам местного самоуправления и развитию Корякского округа Камчатского края.</w:t>
      </w:r>
    </w:p>
    <w:p w:rsidR="00EC7D55" w:rsidRDefault="00EC7D55" w:rsidP="00EC7D55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</w:p>
    <w:p w:rsidR="0091538D" w:rsidRPr="0091538D" w:rsidRDefault="0091538D" w:rsidP="0091538D">
      <w:pPr>
        <w:autoSpaceDE w:val="0"/>
        <w:autoSpaceDN w:val="0"/>
        <w:adjustRightInd w:val="0"/>
        <w:jc w:val="center"/>
        <w:rPr>
          <w:szCs w:val="28"/>
        </w:rPr>
      </w:pPr>
      <w:r w:rsidRPr="0091538D">
        <w:rPr>
          <w:szCs w:val="28"/>
        </w:rPr>
        <w:lastRenderedPageBreak/>
        <w:t>Пояснительная записка</w:t>
      </w:r>
    </w:p>
    <w:p w:rsidR="0091538D" w:rsidRPr="0091538D" w:rsidRDefault="0091538D" w:rsidP="0091538D">
      <w:pPr>
        <w:autoSpaceDE w:val="0"/>
        <w:autoSpaceDN w:val="0"/>
        <w:adjustRightInd w:val="0"/>
        <w:jc w:val="center"/>
        <w:rPr>
          <w:szCs w:val="28"/>
        </w:rPr>
      </w:pPr>
      <w:r w:rsidRPr="0091538D">
        <w:rPr>
          <w:szCs w:val="28"/>
        </w:rPr>
        <w:t xml:space="preserve"> к проекту постановления Правительства Камчатского края «Об утверждении Порядка выделения из краевого бюджета грантов городским округам, муниципальным округам и муниципальным районам в Камчатском крае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округов, муниципальных округов и муниципальных районов в Камчатском крае»</w:t>
      </w:r>
    </w:p>
    <w:p w:rsidR="0091538D" w:rsidRPr="0091538D" w:rsidRDefault="0091538D" w:rsidP="0091538D">
      <w:pPr>
        <w:ind w:firstLine="540"/>
        <w:jc w:val="both"/>
        <w:rPr>
          <w:szCs w:val="28"/>
        </w:rPr>
      </w:pPr>
    </w:p>
    <w:p w:rsidR="0091538D" w:rsidRPr="0091538D" w:rsidRDefault="0091538D" w:rsidP="0091538D">
      <w:pPr>
        <w:spacing w:line="276" w:lineRule="auto"/>
        <w:ind w:firstLine="709"/>
        <w:jc w:val="both"/>
        <w:rPr>
          <w:szCs w:val="28"/>
          <w:bdr w:val="none" w:sz="0" w:space="0" w:color="auto" w:frame="1"/>
        </w:rPr>
      </w:pPr>
      <w:r w:rsidRPr="0091538D">
        <w:rPr>
          <w:szCs w:val="28"/>
          <w:bdr w:val="none" w:sz="0" w:space="0" w:color="auto" w:frame="1"/>
        </w:rPr>
        <w:t>Проектом постановления Правительства Камчатского края «Об утверждении Порядка выделения из краевого бюджета грантов городским округам, муниципальным округам и муниципальным районам в Камчатском крае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округов, муниципальных округов и муниципальных районов в Камчатском крае» (далее – проект постановления) разработан в целях выделения из бюджета Камчатского края гранты муниципальным, городским округам и муниципальным районам в целях содействия достижению и (или) поощрения достижения наилучших значений показателей деятельности органов местного самоуправления муниципальных, городских округов и муниципальных районов в Камчатском крае.</w:t>
      </w:r>
    </w:p>
    <w:p w:rsidR="0091538D" w:rsidRPr="0091538D" w:rsidRDefault="0091538D" w:rsidP="0091538D">
      <w:pPr>
        <w:spacing w:line="276" w:lineRule="auto"/>
        <w:ind w:firstLine="709"/>
        <w:jc w:val="both"/>
      </w:pPr>
      <w:r w:rsidRPr="0091538D">
        <w:rPr>
          <w:szCs w:val="28"/>
        </w:rPr>
        <w:t>Издание проекта постановления не потребует выделения дополнительных ассигнований из краевого бюджета.</w:t>
      </w:r>
    </w:p>
    <w:p w:rsidR="0091538D" w:rsidRPr="0091538D" w:rsidRDefault="0091538D" w:rsidP="0091538D">
      <w:pPr>
        <w:spacing w:line="276" w:lineRule="auto"/>
        <w:ind w:firstLine="709"/>
        <w:jc w:val="both"/>
        <w:rPr>
          <w:bCs/>
        </w:rPr>
      </w:pPr>
      <w:r w:rsidRPr="0091538D">
        <w:rPr>
          <w:bCs/>
        </w:rPr>
        <w:t>В соответствии с постановлением Правительства Камчатского края от 18.05.2010 № 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 настоящий Проект постановления размещен на Едином портале проведения независимой антикоррупционной экспертизы и общественного обсуждения нормативных правовых актов Камчатского края (htths://npaproject.kamgov.ru) с 13.08.2021 по 24.08.2021.</w:t>
      </w:r>
    </w:p>
    <w:p w:rsidR="0091538D" w:rsidRPr="0091538D" w:rsidRDefault="0091538D" w:rsidP="0091538D">
      <w:pPr>
        <w:spacing w:line="276" w:lineRule="auto"/>
        <w:ind w:firstLine="709"/>
        <w:jc w:val="both"/>
        <w:rPr>
          <w:bCs/>
        </w:rPr>
      </w:pPr>
      <w:r w:rsidRPr="0091538D">
        <w:rPr>
          <w:bCs/>
        </w:rPr>
        <w:t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настоящий Проект оценке регулирующего воздействия не подлежит.</w:t>
      </w:r>
    </w:p>
    <w:p w:rsidR="0091538D" w:rsidRPr="0091538D" w:rsidRDefault="0091538D" w:rsidP="0091538D">
      <w:pPr>
        <w:spacing w:line="276" w:lineRule="auto"/>
        <w:ind w:firstLine="709"/>
        <w:jc w:val="both"/>
      </w:pPr>
    </w:p>
    <w:p w:rsidR="0091538D" w:rsidRPr="00EC7D55" w:rsidRDefault="0091538D" w:rsidP="00EC7D55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</w:p>
    <w:sectPr w:rsidR="0091538D" w:rsidRPr="00EC7D55" w:rsidSect="00740AE7">
      <w:headerReference w:type="default" r:id="rId11"/>
      <w:headerReference w:type="first" r:id="rId12"/>
      <w:pgSz w:w="11906" w:h="16838"/>
      <w:pgMar w:top="1134" w:right="851" w:bottom="1134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AF0" w:rsidRDefault="007B6AF0">
      <w:r>
        <w:separator/>
      </w:r>
    </w:p>
  </w:endnote>
  <w:endnote w:type="continuationSeparator" w:id="0">
    <w:p w:rsidR="007B6AF0" w:rsidRDefault="007B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AF0" w:rsidRDefault="007B6AF0">
      <w:r>
        <w:separator/>
      </w:r>
    </w:p>
  </w:footnote>
  <w:footnote w:type="continuationSeparator" w:id="0">
    <w:p w:rsidR="007B6AF0" w:rsidRDefault="007B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7E2" w:rsidRDefault="00E147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D573FA">
      <w:rPr>
        <w:noProof/>
        <w:color w:val="000000"/>
        <w:szCs w:val="28"/>
      </w:rPr>
      <w:t>2</w:t>
    </w:r>
    <w:r>
      <w:rPr>
        <w:color w:val="000000"/>
        <w:szCs w:val="28"/>
      </w:rPr>
      <w:fldChar w:fldCharType="end"/>
    </w:r>
  </w:p>
  <w:p w:rsidR="008847E2" w:rsidRDefault="008847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11" w:rsidRDefault="003C4C11">
    <w:pPr>
      <w:pStyle w:val="ae"/>
      <w:jc w:val="center"/>
    </w:pPr>
  </w:p>
  <w:p w:rsidR="005107EF" w:rsidRDefault="005107E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37B1"/>
    <w:multiLevelType w:val="hybridMultilevel"/>
    <w:tmpl w:val="C65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B58A4"/>
    <w:multiLevelType w:val="multilevel"/>
    <w:tmpl w:val="A34ACE60"/>
    <w:lvl w:ilvl="0">
      <w:start w:val="2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C1113F5"/>
    <w:multiLevelType w:val="hybridMultilevel"/>
    <w:tmpl w:val="85C6949C"/>
    <w:lvl w:ilvl="0" w:tplc="01324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953A1B"/>
    <w:multiLevelType w:val="hybridMultilevel"/>
    <w:tmpl w:val="9B5ECA6A"/>
    <w:lvl w:ilvl="0" w:tplc="ED26845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E2"/>
    <w:rsid w:val="000738E2"/>
    <w:rsid w:val="00076CDC"/>
    <w:rsid w:val="000A19E7"/>
    <w:rsid w:val="000B7289"/>
    <w:rsid w:val="000D4CB4"/>
    <w:rsid w:val="000F3EC9"/>
    <w:rsid w:val="00100190"/>
    <w:rsid w:val="0010218B"/>
    <w:rsid w:val="00110EEC"/>
    <w:rsid w:val="00152790"/>
    <w:rsid w:val="00157258"/>
    <w:rsid w:val="001C7A4B"/>
    <w:rsid w:val="001F0B29"/>
    <w:rsid w:val="001F205E"/>
    <w:rsid w:val="001F5873"/>
    <w:rsid w:val="00226798"/>
    <w:rsid w:val="00230385"/>
    <w:rsid w:val="002701E6"/>
    <w:rsid w:val="0028612C"/>
    <w:rsid w:val="00335156"/>
    <w:rsid w:val="00343865"/>
    <w:rsid w:val="0039501A"/>
    <w:rsid w:val="003B3099"/>
    <w:rsid w:val="003B6C6C"/>
    <w:rsid w:val="003C4C11"/>
    <w:rsid w:val="003D409F"/>
    <w:rsid w:val="003D77DF"/>
    <w:rsid w:val="00431362"/>
    <w:rsid w:val="00443A8B"/>
    <w:rsid w:val="00452B42"/>
    <w:rsid w:val="00453558"/>
    <w:rsid w:val="004619B2"/>
    <w:rsid w:val="00486454"/>
    <w:rsid w:val="004929AB"/>
    <w:rsid w:val="004B0A1F"/>
    <w:rsid w:val="004E5B27"/>
    <w:rsid w:val="004F4087"/>
    <w:rsid w:val="005107EF"/>
    <w:rsid w:val="005418E0"/>
    <w:rsid w:val="00560666"/>
    <w:rsid w:val="0057517E"/>
    <w:rsid w:val="00583178"/>
    <w:rsid w:val="005B67E3"/>
    <w:rsid w:val="005D086E"/>
    <w:rsid w:val="00615A81"/>
    <w:rsid w:val="00634643"/>
    <w:rsid w:val="00681B00"/>
    <w:rsid w:val="006866EE"/>
    <w:rsid w:val="00690378"/>
    <w:rsid w:val="006A1387"/>
    <w:rsid w:val="006B2A04"/>
    <w:rsid w:val="006E0039"/>
    <w:rsid w:val="006E26E6"/>
    <w:rsid w:val="006F3300"/>
    <w:rsid w:val="007138DE"/>
    <w:rsid w:val="00740AE7"/>
    <w:rsid w:val="00762305"/>
    <w:rsid w:val="00772AC4"/>
    <w:rsid w:val="00781E5E"/>
    <w:rsid w:val="0079254F"/>
    <w:rsid w:val="007958D9"/>
    <w:rsid w:val="007A41C6"/>
    <w:rsid w:val="007B6AF0"/>
    <w:rsid w:val="008031C7"/>
    <w:rsid w:val="00836DCC"/>
    <w:rsid w:val="00847A6C"/>
    <w:rsid w:val="008847E2"/>
    <w:rsid w:val="0089721A"/>
    <w:rsid w:val="00897A31"/>
    <w:rsid w:val="008A024A"/>
    <w:rsid w:val="008B19B9"/>
    <w:rsid w:val="008C1210"/>
    <w:rsid w:val="008C23DB"/>
    <w:rsid w:val="008D47BD"/>
    <w:rsid w:val="0091538D"/>
    <w:rsid w:val="009640ED"/>
    <w:rsid w:val="00990FD1"/>
    <w:rsid w:val="009C2528"/>
    <w:rsid w:val="009C365A"/>
    <w:rsid w:val="009E5EBA"/>
    <w:rsid w:val="00A0447E"/>
    <w:rsid w:val="00A33A67"/>
    <w:rsid w:val="00A33C53"/>
    <w:rsid w:val="00A36AB1"/>
    <w:rsid w:val="00A525A2"/>
    <w:rsid w:val="00A66AE7"/>
    <w:rsid w:val="00AA4A61"/>
    <w:rsid w:val="00AC3180"/>
    <w:rsid w:val="00AE0445"/>
    <w:rsid w:val="00AF05AE"/>
    <w:rsid w:val="00B34457"/>
    <w:rsid w:val="00B45040"/>
    <w:rsid w:val="00B60B0A"/>
    <w:rsid w:val="00B640B3"/>
    <w:rsid w:val="00B80648"/>
    <w:rsid w:val="00C21A96"/>
    <w:rsid w:val="00C259B1"/>
    <w:rsid w:val="00C36DCA"/>
    <w:rsid w:val="00CC6B73"/>
    <w:rsid w:val="00CD06AD"/>
    <w:rsid w:val="00CF46EE"/>
    <w:rsid w:val="00D0004F"/>
    <w:rsid w:val="00D06A3C"/>
    <w:rsid w:val="00D264BF"/>
    <w:rsid w:val="00D41414"/>
    <w:rsid w:val="00D573FA"/>
    <w:rsid w:val="00D57C75"/>
    <w:rsid w:val="00D77906"/>
    <w:rsid w:val="00D81C6E"/>
    <w:rsid w:val="00DA63C5"/>
    <w:rsid w:val="00DC45F1"/>
    <w:rsid w:val="00DD38F1"/>
    <w:rsid w:val="00DD692A"/>
    <w:rsid w:val="00DE5C32"/>
    <w:rsid w:val="00E14759"/>
    <w:rsid w:val="00E20FA9"/>
    <w:rsid w:val="00E3012D"/>
    <w:rsid w:val="00E3123D"/>
    <w:rsid w:val="00E85ED8"/>
    <w:rsid w:val="00EB6591"/>
    <w:rsid w:val="00EC7D55"/>
    <w:rsid w:val="00EE1B9D"/>
    <w:rsid w:val="00EF2129"/>
    <w:rsid w:val="00EF4182"/>
    <w:rsid w:val="00EF7F19"/>
    <w:rsid w:val="00F7139A"/>
    <w:rsid w:val="00FC0AF6"/>
    <w:rsid w:val="00FD4678"/>
    <w:rsid w:val="00FD5BF0"/>
    <w:rsid w:val="00FD67D8"/>
    <w:rsid w:val="00FE3CD0"/>
    <w:rsid w:val="00FE5E23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190E0-463C-4193-9BE6-32257506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Cs w:val="24"/>
    </w:rPr>
  </w:style>
  <w:style w:type="paragraph" w:styleId="1">
    <w:name w:val="heading 1"/>
    <w:basedOn w:val="a"/>
    <w:link w:val="10"/>
    <w:uiPriority w:val="9"/>
    <w:qFormat/>
    <w:rsid w:val="00C857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6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7215F2"/>
    <w:pPr>
      <w:ind w:left="720"/>
      <w:contextualSpacing/>
    </w:pPr>
  </w:style>
  <w:style w:type="paragraph" w:styleId="ae">
    <w:name w:val="header"/>
    <w:basedOn w:val="a"/>
    <w:link w:val="af"/>
    <w:uiPriority w:val="99"/>
    <w:rsid w:val="006F04F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F04FA"/>
    <w:rPr>
      <w:sz w:val="28"/>
      <w:szCs w:val="24"/>
    </w:rPr>
  </w:style>
  <w:style w:type="paragraph" w:styleId="af0">
    <w:name w:val="footer"/>
    <w:basedOn w:val="a"/>
    <w:link w:val="af1"/>
    <w:rsid w:val="006F04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F04FA"/>
    <w:rPr>
      <w:sz w:val="28"/>
      <w:szCs w:val="24"/>
    </w:rPr>
  </w:style>
  <w:style w:type="paragraph" w:styleId="af2">
    <w:name w:val="Normal (Web)"/>
    <w:basedOn w:val="a"/>
    <w:uiPriority w:val="99"/>
    <w:unhideWhenUsed/>
    <w:rsid w:val="00407C0C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C85723"/>
    <w:rPr>
      <w:b/>
      <w:bCs/>
      <w:kern w:val="36"/>
      <w:sz w:val="48"/>
      <w:szCs w:val="48"/>
    </w:rPr>
  </w:style>
  <w:style w:type="paragraph" w:customStyle="1" w:styleId="af3">
    <w:name w:val="Знак Знак Знак Знак Знак Знак Знак Знак Знак Знак Знак Знак"/>
    <w:basedOn w:val="a"/>
    <w:rsid w:val="0071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1">
    <w:name w:val="Font Style21"/>
    <w:basedOn w:val="a0"/>
    <w:uiPriority w:val="99"/>
    <w:rsid w:val="008A5583"/>
    <w:rPr>
      <w:rFonts w:ascii="Times New Roman" w:hAnsi="Times New Roman" w:cs="Times New Roman"/>
      <w:sz w:val="26"/>
      <w:szCs w:val="26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3880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989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cdT4Tq9Dw4099hShsvZaHFx2TA==">AMUW2mXB5zLUtGgAlITBbBfI/B65BDiNVKtu+xvgbdisMqyQgtsF7Dnlwqw+6gB/VZbeqFV6SpHe8geHslaHE8o0eqyrdPGW0fcKMJg2ro/w29wG0OXl13r4CRCGJcOc0CD+1S2uA8/zH82LR5ic42UomVjMAXCsSQ==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Гофман Лариса Владимировна</cp:lastModifiedBy>
  <cp:revision>2</cp:revision>
  <cp:lastPrinted>2021-05-24T01:09:00Z</cp:lastPrinted>
  <dcterms:created xsi:type="dcterms:W3CDTF">2021-08-12T22:21:00Z</dcterms:created>
  <dcterms:modified xsi:type="dcterms:W3CDTF">2021-08-12T22:21:00Z</dcterms:modified>
</cp:coreProperties>
</file>