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36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МИНИСТЕРСТВО СТРОИТЕЛЬСТВА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И ЖИЛИЩНОЙ ПОЛИТИКИ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КАМЧАТСКОГО КРАЯ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  <w:t>ПРИКАЗ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D9D9D9" w:themeColor="background1" w:themeShade="D9"/>
          <w:sz w:val="20"/>
          <w:szCs w:val="28"/>
          <w:highlight w:val="none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142" w:hanging="142"/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[Дата регистрации] № [Номер</w:t>
            </w:r>
            <w:r>
              <w:rPr>
                <w:rFonts w:ascii="Times New Roman" w:hAnsi="Times New Roman"/>
                <w:color w:val="D9D9D9" w:themeColor="background1" w:themeShade="D9"/>
                <w:sz w:val="20"/>
                <w:highlight w:val="none"/>
              </w:rPr>
              <w:t xml:space="preserve"> документа</w:t>
            </w:r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</w:p>
    <w:tbl>
      <w:tblPr>
        <w:tblStyle w:val="10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3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б утверждении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орядка предоставления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гражданам, проживающим в Камчатском крае,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>социальной выплаты на уплату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>первоначального взноса по ипотечному жилищному кредиту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(займу) на </w:t>
            </w:r>
            <w:r>
              <w:rPr>
                <w:rFonts w:hint="default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строительство индивидуального жилого дома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в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>амчатском крае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соответствии частью 36 раздела 3 приложения 1 к постановлению Правительства Камчатского края от 21.02.2024 № 55-П «Об утверждении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>ПРИКАЗЫВАЮ: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1. Утвердить П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орядок предоставления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гражданам, проживающим в Камчатском крае,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 согласно приложению к настоящему приказу.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2. Настоящий приказ вступает в силу после дня его официального опубликования и распространяется на правоотношения, возникшие с 22 февраля 2024 года.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tbl>
      <w:tblPr>
        <w:tblStyle w:val="3"/>
        <w:tblW w:w="9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right="27"/>
              <w:rPr>
                <w:rFonts w:hint="default"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Врио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Министр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а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[горизонтальный штамп подписи 1]</w:t>
            </w:r>
            <w:bookmarkEnd w:id="1"/>
          </w:p>
        </w:tc>
        <w:tc>
          <w:tcPr>
            <w:tcW w:w="227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 w:val="0"/>
              <w:bidi w:val="0"/>
              <w:snapToGrid/>
              <w:spacing w:after="0" w:line="240" w:lineRule="auto"/>
              <w:jc w:val="right"/>
              <w:rPr>
                <w:rFonts w:hint="default"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>.В. Фирстов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10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rPr>
                <w:rFonts w:ascii="Times New Roman" w:hAnsi="Times New Roman"/>
                <w:color w:val="D9D9D9" w:themeColor="background1" w:themeShade="D9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60" w:line="240" w:lineRule="auto"/>
              <w:rPr>
                <w:rFonts w:ascii="Times New Roman" w:hAnsi="Times New Roman"/>
                <w:color w:val="D9D9D9" w:themeColor="background1" w:themeShade="D9"/>
                <w:sz w:val="28"/>
                <w:highlight w:val="none"/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  <w:highlight w:val="none"/>
              </w:rPr>
              <w:t>[Номер документа]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rPr>
          <w:rFonts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орядок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предоставления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гражданам,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проживающим в Камчатском крае,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строительство индивидуального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1. Настоящий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орядок предоставления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гражданам, проживающим в Камчатском крае,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на 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амчатском крае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Порядок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определяет правила предоставления за счет средств краевого бюджета социальной выплаты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(далее – социальная выплата)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гражданам, проживающим в Камчатском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Предоставление социальных выплат гражданам осуществляется Министерством строительства и жилищной политики Камчатского края (далее – Министерство) в пределах бюджетных ассигнований, предусмотренных законом Камчатского края о краевом бюджете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на соответствующий финансовый год и на плановый период,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и лимитов бюджетных обязательств, доведенных Министерству на соответствующие цели.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3. Для целей настоящего Порядка под членами семьи гражданина понимаются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супруг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(супруга)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 том числе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усыновленны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4.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Социальная выплата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за счет средств краевого бюджета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предоставляется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гражданам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один раз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5.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При наличии у гражданина права на получение за счет средств краевого бюджета социальных выплат, связанных с приобретением (строительством) жилого помещения в Камчатском крае, в соответствии с настоящим Порядком и по ин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основани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предусмотренн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нормативным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правовым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акт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ами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Камчатского края, социальная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выплата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предоставляется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только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 одному из оснований по выбору гражданина.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6.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Право на получение социальной выплаты в соответствии с настоящим Порядком имеют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Российской Федерации, проживающие в Камчатском крае, обеспеченность общей площадью жилого помещения которых составляет менее площади жилого помещения, установленной частью 7 настоящего Порядка, в собственности которых имеется земельный участок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вид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разрешенного использования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«для индивидуального жилищного строительства» или «для ведения личного подсобного хозяйства».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7. Право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 получение социальной выплаты предоставляется граждан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ам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случае, если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обеспеченность общей площадью жилого помещения составляет менее площади жилого помещения: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для одиноко проживающего гражданина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33 квадратных метра общей площади жилого помещения;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для семьи, состоящей из двух человек,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42 квадратных метра общей площади жилого помещения;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для семьи, состоящей из трех и более человек,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18 квадратных метров общей площади жилого помещения на одного члена семьи.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8.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Социальная выплата предоставляется гражданам в порядке очередности,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исходя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>из даты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 подачи заявления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включении в список претендентов на получение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на уплату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первоначального взноса по ипотечному жилищному кредиту (займу) 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 Основной список)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за исключением граждан, являющихся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участникам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и граждан, члены семьи которых являются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участникам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которым социальная выплата предоставляется в первоочередном порядке.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9. Включение граждан в Основной список осуществляется на основании следующих документов (информации):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представляемых гражданином или его представителем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а) заявлени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 о включении в список претендентов на получение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 форме согласно приложению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 настоящему Порядку;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б) документ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удостоверяющи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личность гражданина и членов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его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семьи;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документов (информации), подтверждающих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наличи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 гражданина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права собственности на земельны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участ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ок,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вид разрешенного использования котор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предусматривает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осуществление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индивидуально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жилищно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строительств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или ведение личного подсобного хозяйства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 отношении земельных участков,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права на которые не зарегистрированы в Едином государственном реестре прав на недвижимое имущество и сделок с ним);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г) согласия на обработку персональных данных всех совершеннолетних членов семьи гражданина;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документов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запрашиваемых в порядке межведомственного информационного взаимодействия в органах государственной власти, органах местного самоуправления и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и (или)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а) документа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из Единого государственного реестра записей актов гражданского состояния в части актов гражданского состояния, подтверждающих состав семьи гражданина;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из Единого государственного реестра недвижимости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наличии (отсутствии) у гражданина и членов его семьи зарегистрированных прав на жилые помещения;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документов (информации) органа регистрационного учета граждан Российской Федерации по месту пребывания и по месту жительства в пределах Российской Федерации, подтверждающих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подтверждающ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ей) проживание гражданина и (или) членов его семьи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г) документов (информации) исполнительного органа Камчатского края или органа местного самоуправления муниципального образования в Камчатском крае, подтверждающих (подтверждающей) непригодность жилого помещения для проживания.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10.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Документы (информацию)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указанные в пункте 2 части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9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гражданин вправе представить самостоятельно.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11. Документы, представленные гражданином в соответствии с частью 9 настоящего Порядка, регистрируются в Министерстве в день их поступления и направляются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Комиссию 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(далее – Комиссия)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12. Комиссия рассматривает документы (информацию), указанные в части 9 настоящего Порядка, в срок, не превышающий 30 дней со дня их регистрации в Министерстве.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13. По результатам рассмотрения представленных гражданином документов (информации) Комиссия принимает одно из решений: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1) включить гражданина в Основной список;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2) отказать во включении гражданина в Основной список.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14.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Министерство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5 дней со дня принятия Комиссией решения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указанного в части 13 настоящего Порядка готовит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принятом Комиссией решении и в течение 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дней со дня подписания направляет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его в адрес гражданина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либо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вручает гражданину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лично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15. В случае принятия Комиссией решения, указанного пункте 2 части 13 настоящего Порядка, 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принятом Комиссией решении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должно содержать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разъяснени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причинах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принятия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такого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решения и поряд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его обжалования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16.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Основания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принятия Комиссией решения,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указанного пункте 2 части 13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являются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несоответствие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гражданин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а условиям, определенным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частью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2) непредставление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документов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указанных в пункте 1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свидетельствующ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об отсутствии документа (информации), необходим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ого (необходимой)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для предоставления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если соответствующий документ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не представлены гражданином по собственной инициативе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), в случае, предусмотренном частью 17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17. Принятие решения,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указанного пункте 2 части 13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основанию,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указанному в пункте 3 части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16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допускается в случае, если Министерством направлено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или вручено лично гражданину уведомление о получении такого ответа с предложением представить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документы (информацию), необходимые (необходимую)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 предоставления социальной выплаты, но в течение 15 дней со дня направления уведомления от заявителя не получены такие документы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18. Министерство в пределах бюджетных ассигнований, предусмотренных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законом Камчатского края о краевом бюджете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на соответствующий финансовый год и на плановый период, с момента доведения лимитов бюджетных обязательств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производит расчет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и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формирует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из числа граждан, включенных в Основной список, с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писок граждан, претендующих на получение социальной выплаты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в текущем финансовом году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(далее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–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Список получателей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В целях реализации права на социальную выплату Министерство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 течение 5 дней со дня включения в Список получателей уведомляет любым доступным способом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граждан, включенны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указанный список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возможности получения социальной выплаты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необходимости представления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 Министерство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 течение 30 дней 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дня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получения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уведомления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следующих документов: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заявления о предоставлении социальной выплаты по форме согласно приложению 2 к настоящему Порядку;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документов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указанных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подпунктах «б» и «в» пункта 1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справк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кредитной организации о максимально возможной сумме ипотечного жилищного кредита (займа) на приобретение жилого помещения в Камчатском крае, который может быть предоставлен гражданину (заемщику) либо обоим супругам (созаемщикам) (далее — справка)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В случае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непредставления гражданином документов (информации), указанных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19 настоящего Порядка, в срок, определенный частью 19 настоящего Порядка, либо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отказа гражданина от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предоставления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социальной выплаты,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 исключается из числа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граждан, претендующих на получение социальной выплаты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в текущем финансовом году, а в Список претендентов включается следующий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исходя из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даты подачи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заявлени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 о включении в список претендентов на получение социальной выплаты гражданин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21. Граждане,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не представившие документы, указанные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в срок, определенный частью 19 настоящего Порядка, граждане,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отказавшиеся от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получени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я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 социальной выплаты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в текущем финансовом году, а также граждане, не использовавшие средства социальной выплаты в срок, установленный частью 40 настоящего Порядка, сохраняют право на получение социальной выплаты в ином периоде.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Предоставление социальной выплаты гражданам осуществляется на основании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представленных (полученной) в соответствии с частями 9 и 19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23. Документы, представленные гражданином в соответствии с частью 19 настоящего Порядка, регистрируются в Министерстве в день их поступления и направляются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Комисси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ю.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24. Комиссия рассматривает документы (информацию), представленные (полученную) в соответствии с частью 19 настоящего Порядка, в срок, не превышающий 30 дней со дня их регистрации в Министерстве, и принимает одно из следующих решений: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1) предоставить гражданину социальную выплату;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2) отказать в предоставлении гражданину социальной выплаты.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25.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Министерство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5 дней со дня принятия Комиссией решения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указанного в части 24 настоящего Порядка готовит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принятом Комиссией решении и в течение 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дней со дня подписания направляет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его в адрес гражданина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либо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вручает гражданину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лично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26. В случае принятия Комиссией решения, указанного пункте 2 части 24 настоящего Порядка, 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принятом Комиссией решении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должно содержать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разъяснени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причинах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принятия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такого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решения и поряд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его обжалования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27.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Основания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принятия Комиссией решения об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предоставлении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являются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несоответствие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гражданин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а условиям, определенным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частью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2) непредставление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документов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указанных в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либо представление их с нарушением требований, установленных настоящим Порядком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свидетельствующ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об отсутствии документа (информации), необходим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ого (необходимой)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для предоставления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если соответствующий документ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не представлены гражданином по собственной инициативе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), в случае, предусмотренном частью 17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28. Принятие решения об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тказ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предоставлении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гражданину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социальной выплаты по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основанию,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указанному в пункте 3 части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27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допускается в случае, если Министерством направлено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или вручено лично гражданину уведомление о получении такого ответа с предложением представить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документы (информацию), необходимые (необходимую)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 предоставления социальной выплаты, но в течение 15 дней со дня направления уведомления от заявителя не получены такие документы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 Размер социальной выплаты рассчитывается по формуле: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вып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= S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норм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х СТ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ср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х 30%, где: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вып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– размер социальной выплаты (в рублях);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S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норм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– площадь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рассчитанная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соответствии с частью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ср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– средняя рыночная стоимость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одного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адратного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метра общей площади жил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 Камчатскому краю, определяем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один раз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квартал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уполномоченным Правительством Российской Федерации федеральным органом исполнительной власти.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30.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 социальной выплаты рассчитывается на дату принятия Комиссией решения о предоставлении социальной выплаты и является неизменным.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31.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Социальная выплата предоставляется на уплату первоначального взноса по ипотечному жилищному кредиту (займу) на строительство индивидуального жилого дома в Камчатском крае</w:t>
      </w:r>
      <w:bookmarkStart w:id="2" w:name="_GoBack"/>
      <w:bookmarkEnd w:id="2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Не допускается использование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средств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социальной выплаты на погашение иных процентов, основного долга по ипотечному жилищному кредиту (займу), штрафов, комиссий и пеней за просрочку исполнения обязательств по ипотечному жилищному кредиту (займу).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33. </w:t>
      </w:r>
      <w:r>
        <w:rPr>
          <w:rFonts w:ascii="Times New Roman" w:hAnsi="Times New Roman"/>
          <w:color w:val="auto"/>
          <w:sz w:val="28"/>
          <w:highlight w:val="none"/>
          <w:lang w:val="ru-RU"/>
        </w:rPr>
        <w:t>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бщая площадь индивидуального жилого дома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построенного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 использованием средств социальной выплаты,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должна достигать такого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уровня обеспеченности площадью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который исключает возможность признания гражданина нуждающимся в жилом помещении,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не может быть менее учетной нормы площади жилого помещения, установленной в муниципальном образовании в Камчатском крае</w:t>
      </w:r>
      <w:r>
        <w:rPr>
          <w:rFonts w:ascii="Times New Roman" w:hAnsi="Times New Roman"/>
          <w:color w:val="auto"/>
          <w:sz w:val="28"/>
          <w:highlight w:val="none"/>
        </w:rPr>
        <w:t>, на территории которого гражданином будет построен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индивидуальн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дом</w:t>
      </w:r>
      <w:r>
        <w:rPr>
          <w:rFonts w:ascii="Times New Roman" w:hAnsi="Times New Roman"/>
          <w:color w:val="auto"/>
          <w:sz w:val="28"/>
          <w:highlight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34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ндивидуальн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построенн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за счет средств социальной выплаты,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оформля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тся в общую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(совместную, долевую)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собственность всех членов семьи гражданина.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Предоставление социальной выплаты гражданину осуществляется в форме безналичного расчета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путем перечисления денежных средств на счет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открытый в кредитной организации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и указанный им в заявлении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перечислении социальной выплаты.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36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 Для уплат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первоначального взноса по ипотечному жилищному кредиту (займу) на строительство индивидуального жилого дома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гражданин представляет в Министерство следующие документы: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заявление о перечислении социальной выплаты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указанный 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счет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открытый в кредитной организации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2) копию договора ипотечного жилищного кредитования (заимствования)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копию договора подряда на строительство индивидуального жилого дома.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37.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договор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подряда на строительство индивидуального жилого дома в обязательном порядке должна быть включена следующая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 предоставленной гражданину социальной выплаты;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4) об общей и жилой площади строящегося индивидуального жилого дома.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38.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На основании документов, указанных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instrText xml:space="preserve"> HYPERLINK "consultantplus://offline/ref=0960664A888C7F3FDB80C834836CAC29E97A4823FF6DEBB50D79F902A244C5E86961EE648ABD9800ADEA06s9XCB"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част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37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Порядка, Министерство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издает приказ о перечислении денежных средств 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20 рабочих дней с даты их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представления гражданином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перечисл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денежн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средств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 счет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указанный гражданином в заявлении о перечислении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 счет уплат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первоначального взноса по ипотечному жилищному кредиту (займу) на строительство индивидуального жилого дома в Камчатском крае.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Социальная выплата считается предоставленной гражданину с даты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перечисления в полном объеме.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Средства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социальной выплаты должн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быть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использованы гражданином на цели, определенные настоящим Порядком, не позднее 20 декабря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текущего финансового года.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41. 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редоставление социальной выплаты является основанием для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для исключения гражданина из списков, указанных в частях 8 и 18 настоящего Порядка.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br w:type="page"/>
      </w:r>
    </w:p>
    <w:tbl>
      <w:tblPr>
        <w:tblStyle w:val="10"/>
        <w:tblW w:w="9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03"/>
        <w:gridCol w:w="4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 xml:space="preserve">Приложение 1 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Порядку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предоставления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гражданам, проживающим в Камчатском крае,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социальной выплаты на уплату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первоначального взноса по ипотечному жилищному кредиту (займу)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>на строительство индивидуального жилого дома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амчатском крае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overflowPunct/>
        <w:topLinePunct w:val="0"/>
        <w:bidi w:val="0"/>
        <w:snapToGrid/>
        <w:ind w:left="708" w:leftChars="0" w:firstLine="708" w:firstLineChars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</w:p>
    <w:tbl>
      <w:tblPr>
        <w:tblStyle w:val="3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4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180" w:lineRule="atLeast"/>
              <w:ind w:left="0" w:leftChars="0" w:right="0" w:rightChars="0" w:firstLine="0" w:firstLineChars="0"/>
              <w:jc w:val="right"/>
              <w:rPr>
                <w:rStyle w:val="18"/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pPr>
          </w:p>
        </w:tc>
        <w:tc>
          <w:tcPr>
            <w:tcW w:w="4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 xml:space="preserve">Министру строительства и жилищной политики Камчатского края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 xml:space="preserve">от гражданина(ки)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проживающего(ей) по адресу: 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тел. 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 xml:space="preserve"> 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mail ____________________________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suppressAutoHyphens/>
        <w:overflowPunct/>
        <w:topLinePunct w:val="0"/>
        <w:bidi w:val="0"/>
        <w:snapToGrid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</w:p>
    <w:p>
      <w:pPr>
        <w:pStyle w:val="19"/>
        <w:keepNext w:val="0"/>
        <w:keepLines w:val="0"/>
        <w:pageBreakBefore w:val="0"/>
        <w:widowControl w:val="0"/>
        <w:suppressAutoHyphens/>
        <w:overflowPunct/>
        <w:topLinePunct w:val="0"/>
        <w:bidi w:val="0"/>
        <w:snapToGrid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ЗАЯВЛЕНИЕ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jc w:val="center"/>
        <w:rPr>
          <w:rStyle w:val="18"/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Style w:val="18"/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 включении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список претендентов на получение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на уплату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первоначального взноса по ипотечному жилищному кредиту (займу)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на 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</w:p>
    <w:p>
      <w:pPr>
        <w:pStyle w:val="17"/>
        <w:keepNext w:val="0"/>
        <w:keepLines w:val="0"/>
        <w:pageBreakBefore w:val="0"/>
        <w:widowControl w:val="0"/>
        <w:overflowPunct/>
        <w:topLinePunct w:val="0"/>
        <w:bidi w:val="0"/>
        <w:snapToGrid/>
        <w:ind w:left="0" w:leftChars="0" w:firstLine="0" w:firstLineChars="0"/>
        <w:jc w:val="center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 xml:space="preserve">Прошу </w:t>
      </w:r>
      <w:r>
        <w:rPr>
          <w:rFonts w:ascii="Times New Roman" w:hAnsi="Times New Roman"/>
          <w:i w:val="0"/>
          <w:sz w:val="28"/>
          <w:highlight w:val="none"/>
          <w:lang w:val="ru-RU"/>
        </w:rPr>
        <w:t>включить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 меня ___________________________________________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4"/>
          <w:highlight w:val="none"/>
        </w:rPr>
      </w:pP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ascii="Times New Roman" w:hAnsi="Times New Roman"/>
          <w:i w:val="0"/>
          <w:sz w:val="24"/>
          <w:highlight w:val="none"/>
        </w:rPr>
        <w:t>(Ф.И.О. (при наличии</w:t>
      </w:r>
      <w:r>
        <w:rPr>
          <w:rFonts w:ascii="Times New Roman" w:hAnsi="Times New Roman"/>
          <w:i w:val="0"/>
          <w:sz w:val="28"/>
          <w:highlight w:val="none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паспорт _____ № ________, выдан «____» _________________ ____ года ____________________________________________________________________,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right="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список претендентов на получение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на уплату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первоначального взноса по ипотечному жилищному кредиту (займу)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на 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. 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 xml:space="preserve">Состав семьи: 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Супруга (супруг) 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1814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 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_____ № ________, выдан «____» _________________ ____ года ____________________________________________________________________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center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left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 xml:space="preserve">Дети: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1)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 года 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4252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2)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3)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4)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5)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К заявлению прилагаются следующие документы: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1) 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2) 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3) </w:t>
      </w:r>
      <w:r>
        <w:rPr>
          <w:rFonts w:ascii="Times New Roman" w:hAnsi="Times New Roman"/>
          <w:i w:val="0"/>
          <w:sz w:val="28"/>
          <w:highlight w:val="none"/>
        </w:rPr>
        <w:t>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Chars="0" w:right="0" w:rightChars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4) __________________________________________________________________;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5) __________________________________________________________________;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hint="default" w:ascii="Times New Roman" w:hAnsi="Times New Roman"/>
          <w:i w:val="0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hint="default" w:ascii="Times New Roman" w:hAnsi="Times New Roman"/>
          <w:i w:val="0"/>
          <w:sz w:val="28"/>
          <w:highlight w:val="none"/>
        </w:rPr>
        <w:t>Я и члены моей семьи обязуемся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  <w:highlight w:val="none"/>
        </w:rPr>
        <w:t>в течение 30 дней со дня наступления события сообщать об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  <w:highlight w:val="none"/>
        </w:rPr>
        <w:t>изменении состава семьи, изменении места жительства, иных фактах, имеющих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  <w:highlight w:val="none"/>
        </w:rPr>
        <w:t>значение для принятия Министерством строительства и жилищной политики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  <w:highlight w:val="none"/>
        </w:rPr>
        <w:t xml:space="preserve">Камчатского края решения о предоставлении 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социальной выплаты.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Я и члены моей семьи даем согласие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, </w:t>
      </w:r>
      <w:r>
        <w:rPr>
          <w:rFonts w:ascii="Times New Roman" w:hAnsi="Times New Roman"/>
          <w:sz w:val="28"/>
          <w:highlight w:val="none"/>
        </w:rPr>
        <w:t>Министерству строительства и жилищной политики Камчатского края на автоматизированную, а также без использования средств автоматизации обработку персональных данных в целях получения социальной выплаты на строительство или приобретение жилого помещения в собственность, а именно: на совершение действий, предусмотренных пунктом 3 статьи 3 Федерального закона от 27.07.2006 № 152-ФЗ «О персональных данных», со сведениями, представленными мной и членами моей семьи в Министерство строительства и жилищной политики Камчатского края.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  <w:highlight w:val="none"/>
          <w:lang w:val="ru-RU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567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ascii="Times New Roman" w:hAnsi="Times New Roman"/>
          <w:sz w:val="28"/>
          <w:highlight w:val="none"/>
          <w:lang w:val="ru-RU"/>
        </w:rPr>
        <w:t>Подписи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заявителя и членов семьи заявителя: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9"/>
        <w:gridCol w:w="285"/>
        <w:gridCol w:w="2268"/>
        <w:gridCol w:w="284"/>
        <w:gridCol w:w="1982"/>
      </w:tblGrid>
      <w:tr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36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(Ф.И.О. (при наличии)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(дата)</w:t>
            </w:r>
          </w:p>
        </w:tc>
      </w:tr>
      <w:tr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36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 xml:space="preserve">(Ф.И.О. (при наличии) 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(дата)</w:t>
            </w:r>
          </w:p>
        </w:tc>
      </w:tr>
      <w:tr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36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 xml:space="preserve">(Ф.И.О. (при наличии) 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(дата)</w:t>
            </w:r>
          </w:p>
        </w:tc>
      </w:tr>
      <w:tr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36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(Ф.И.О. (при наличии)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 xml:space="preserve"> 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(дата)</w:t>
            </w:r>
          </w:p>
        </w:tc>
      </w:tr>
      <w:tr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(Ф.И.О. (при наличии)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 xml:space="preserve"> 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(дата)</w:t>
            </w:r>
          </w:p>
        </w:tc>
      </w:tr>
      <w:tr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36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rPr>
          <w:trHeight w:val="230" w:hRule="atLeast"/>
        </w:trPr>
        <w:tc>
          <w:tcPr>
            <w:tcW w:w="4819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(Ф.И.О. (при наличии)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 xml:space="preserve"> 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none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b/>
          <w:i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Примечание: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от имени</w:t>
      </w:r>
      <w:r>
        <w:rPr>
          <w:rFonts w:ascii="Times New Roman" w:hAnsi="Times New Roman"/>
          <w:sz w:val="28"/>
          <w:highlight w:val="none"/>
        </w:rPr>
        <w:t xml:space="preserve"> несовершеннолетних лиц </w:t>
      </w:r>
      <w:r>
        <w:rPr>
          <w:rFonts w:ascii="Times New Roman" w:hAnsi="Times New Roman"/>
          <w:sz w:val="28"/>
          <w:highlight w:val="none"/>
          <w:lang w:val="ru-RU"/>
        </w:rPr>
        <w:t>заявление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подписывают их законные представители.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-349" w:right="0" w:firstLine="0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«_____» ________________________ 20_____ г.».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1069" w:right="0" w:firstLine="0"/>
        <w:jc w:val="both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(дата подачи заявления)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br w:type="page"/>
      </w:r>
    </w:p>
    <w:tbl>
      <w:tblPr>
        <w:tblStyle w:val="10"/>
        <w:tblW w:w="9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590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 xml:space="preserve">Приложение 2 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Порядку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предоставления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гражданам, проживающим в Камчатском крае,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социальной выплаты на уплату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первоначального взноса по ипотечному жилищному кредиту (займу)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>на строительство индивидуального жилого дома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амчатском крае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overflowPunct/>
        <w:topLinePunct w:val="0"/>
        <w:bidi w:val="0"/>
        <w:snapToGrid/>
        <w:ind w:left="708" w:leftChars="0" w:firstLine="708" w:firstLineChars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</w:p>
    <w:tbl>
      <w:tblPr>
        <w:tblStyle w:val="3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4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180" w:lineRule="atLeast"/>
              <w:ind w:left="0" w:leftChars="0" w:right="0" w:rightChars="0" w:firstLine="0" w:firstLineChars="0"/>
              <w:jc w:val="right"/>
              <w:rPr>
                <w:rStyle w:val="18"/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pPr>
          </w:p>
        </w:tc>
        <w:tc>
          <w:tcPr>
            <w:tcW w:w="4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 xml:space="preserve">Министру строительства и жилищной политики Камчатского края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 xml:space="preserve">от гражданина(ки)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right="0" w:firstLine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проживающего(ей) по адресу: 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</w:rPr>
              <w:t>тел. 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 xml:space="preserve"> 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overflowPunct/>
              <w:topLinePunct w:val="0"/>
              <w:bidi w:val="0"/>
              <w:snapToGrid/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  <w:t>mail ____________________________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suppressAutoHyphens/>
        <w:overflowPunct/>
        <w:topLinePunct w:val="0"/>
        <w:bidi w:val="0"/>
        <w:snapToGrid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</w:p>
    <w:p>
      <w:pPr>
        <w:pStyle w:val="19"/>
        <w:keepNext w:val="0"/>
        <w:keepLines w:val="0"/>
        <w:pageBreakBefore w:val="0"/>
        <w:widowControl w:val="0"/>
        <w:suppressAutoHyphens/>
        <w:overflowPunct/>
        <w:topLinePunct w:val="0"/>
        <w:bidi w:val="0"/>
        <w:snapToGrid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ЗАЯВЛЕНИЕ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18"/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предоставлени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социальной выплаты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на 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</w:p>
    <w:p>
      <w:pPr>
        <w:pStyle w:val="17"/>
        <w:keepNext w:val="0"/>
        <w:keepLines w:val="0"/>
        <w:pageBreakBefore w:val="0"/>
        <w:widowControl w:val="0"/>
        <w:overflowPunct/>
        <w:topLinePunct w:val="0"/>
        <w:bidi w:val="0"/>
        <w:snapToGrid/>
        <w:ind w:left="0" w:leftChars="0" w:firstLine="0" w:firstLineChars="0"/>
        <w:jc w:val="center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Прошу предоставить мне _________________________________________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hint="default" w:ascii="Times New Roman" w:hAnsi="Times New Roman"/>
          <w:i w:val="0"/>
          <w:sz w:val="24"/>
          <w:highlight w:val="none"/>
          <w:lang w:val="ru-RU"/>
        </w:rPr>
        <w:tab/>
      </w:r>
      <w:r>
        <w:rPr>
          <w:rFonts w:ascii="Times New Roman" w:hAnsi="Times New Roman"/>
          <w:i w:val="0"/>
          <w:sz w:val="24"/>
          <w:highlight w:val="none"/>
        </w:rPr>
        <w:t>(Ф.И.О. (при наличии</w:t>
      </w:r>
      <w:r>
        <w:rPr>
          <w:rFonts w:ascii="Times New Roman" w:hAnsi="Times New Roman"/>
          <w:i w:val="0"/>
          <w:sz w:val="28"/>
          <w:highlight w:val="none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паспорт _____ № ________, выдан «____» _________________ ____ года ____________________________________________________________________,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 xml:space="preserve">социальную выплату 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строительство индивидуального жилого дома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highlight w:val="none"/>
        </w:rPr>
        <w:t>в ________ году.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 xml:space="preserve">Состав семьи: 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Супруга (супруг) 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1814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 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_____ № ________, выдан «____» _________________ ____ года ____________________________________________________________________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left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 xml:space="preserve">Дети: 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1)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 года 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4252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2)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3)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4)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_____________________________________________,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5) __________________________________________________________________,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(Ф.И.О.(при наличии), дата рождения)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9837"/>
        </w:tabs>
        <w:overflowPunct/>
        <w:topLinePunct w:val="0"/>
        <w:bidi w:val="0"/>
        <w:snapToGrid/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(наименование органа, выдавшего документ)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К заявлению прилагаются следующие документы: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1) 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ascii="Times New Roman" w:hAnsi="Times New Roman"/>
          <w:i w:val="0"/>
          <w:sz w:val="28"/>
          <w:highlight w:val="none"/>
        </w:rPr>
        <w:t>2) 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 xml:space="preserve">3) </w:t>
      </w:r>
      <w:r>
        <w:rPr>
          <w:rFonts w:ascii="Times New Roman" w:hAnsi="Times New Roman"/>
          <w:i w:val="0"/>
          <w:sz w:val="28"/>
          <w:highlight w:val="none"/>
        </w:rPr>
        <w:t>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Chars="0" w:right="0" w:rightChars="0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__________________________________________________________________;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highlight w:val="none"/>
          <w:lang w:val="ru-RU"/>
        </w:rPr>
      </w:pP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5</w:t>
      </w:r>
      <w:r>
        <w:rPr>
          <w:rFonts w:ascii="Times New Roman" w:hAnsi="Times New Roman"/>
          <w:i w:val="0"/>
          <w:sz w:val="28"/>
          <w:highlight w:val="none"/>
        </w:rPr>
        <w:t>) __________________________________________________________________</w:t>
      </w:r>
      <w:r>
        <w:rPr>
          <w:rFonts w:hint="default" w:ascii="Times New Roman" w:hAnsi="Times New Roman"/>
          <w:i w:val="0"/>
          <w:sz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  <w:highlight w:val="none"/>
        </w:rPr>
      </w:pPr>
      <w:r>
        <w:rPr>
          <w:rFonts w:ascii="Times New Roman" w:hAnsi="Times New Roman"/>
          <w:i w:val="0"/>
          <w:sz w:val="24"/>
          <w:highlight w:val="none"/>
        </w:rPr>
        <w:t>(дата, номер и наименование документа)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  <w:highlight w:val="none"/>
        </w:rPr>
      </w:pPr>
      <w:r>
        <w:rPr>
          <w:rFonts w:ascii="Times New Roman" w:hAnsi="Times New Roman"/>
          <w:i w:val="0"/>
          <w:sz w:val="28"/>
          <w:highlight w:val="none"/>
        </w:rPr>
        <w:t>С условиями предоставления социальной выплаты ознакомлен(а) и обязуюсь их выполнять.</w:t>
      </w:r>
    </w:p>
    <w:tbl>
      <w:tblPr>
        <w:tblStyle w:val="3"/>
        <w:tblW w:w="973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8"/>
        <w:gridCol w:w="337"/>
        <w:gridCol w:w="3863"/>
      </w:tblGrid>
      <w:tr>
        <w:tc>
          <w:tcPr>
            <w:tcW w:w="553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8"/>
                <w:highlight w:val="none"/>
              </w:rPr>
            </w:pPr>
          </w:p>
        </w:tc>
        <w:tc>
          <w:tcPr>
            <w:tcW w:w="3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i w:val="0"/>
                <w:sz w:val="28"/>
                <w:highlight w:val="none"/>
              </w:rPr>
            </w:pPr>
          </w:p>
        </w:tc>
        <w:tc>
          <w:tcPr>
            <w:tcW w:w="3863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8"/>
                <w:highlight w:val="none"/>
              </w:rPr>
            </w:pPr>
          </w:p>
        </w:tc>
      </w:tr>
      <w:tr>
        <w:tc>
          <w:tcPr>
            <w:tcW w:w="553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4"/>
                <w:highlight w:val="none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  <w:highlight w:val="none"/>
              </w:rPr>
              <w:t>(Ф.И.О.(при наличии) заявителя)</w:t>
            </w:r>
          </w:p>
        </w:tc>
        <w:tc>
          <w:tcPr>
            <w:tcW w:w="3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i w:val="0"/>
                <w:sz w:val="28"/>
                <w:highlight w:val="none"/>
              </w:rPr>
            </w:pPr>
          </w:p>
        </w:tc>
        <w:tc>
          <w:tcPr>
            <w:tcW w:w="386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4"/>
                <w:highlight w:val="none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  <w:highlight w:val="none"/>
              </w:rPr>
              <w:t>(подпись)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jc w:val="both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-349" w:right="0" w:firstLine="0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«_____» ________________________ 20_____ г.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before="0" w:after="0" w:line="240" w:lineRule="auto"/>
        <w:ind w:left="1069" w:right="0" w:firstLine="0"/>
        <w:jc w:val="both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(дата подачи заявления)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AA0F9"/>
    <w:multiLevelType w:val="singleLevel"/>
    <w:tmpl w:val="F6FAA0F9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2FF702BE"/>
    <w:rsid w:val="326F93EA"/>
    <w:rsid w:val="33F7DE90"/>
    <w:rsid w:val="3E43421D"/>
    <w:rsid w:val="3EEF4894"/>
    <w:rsid w:val="3FECA295"/>
    <w:rsid w:val="3FFF08FD"/>
    <w:rsid w:val="50DF823B"/>
    <w:rsid w:val="5BDF3289"/>
    <w:rsid w:val="5BFCA96C"/>
    <w:rsid w:val="5D72E55B"/>
    <w:rsid w:val="5F6FF904"/>
    <w:rsid w:val="5F7DD9C3"/>
    <w:rsid w:val="5F7F8B56"/>
    <w:rsid w:val="5FCE78F7"/>
    <w:rsid w:val="67EF760F"/>
    <w:rsid w:val="6BC6D4CD"/>
    <w:rsid w:val="6BFF1043"/>
    <w:rsid w:val="6DFDE694"/>
    <w:rsid w:val="6E47A082"/>
    <w:rsid w:val="6FA441F2"/>
    <w:rsid w:val="6FFFB7E4"/>
    <w:rsid w:val="735F69C5"/>
    <w:rsid w:val="737A09F5"/>
    <w:rsid w:val="737B37E5"/>
    <w:rsid w:val="75DD6D73"/>
    <w:rsid w:val="763B679E"/>
    <w:rsid w:val="77EC40A6"/>
    <w:rsid w:val="79FE147A"/>
    <w:rsid w:val="7B5F9E1D"/>
    <w:rsid w:val="7C6F8BC3"/>
    <w:rsid w:val="7D79E83B"/>
    <w:rsid w:val="7DD6E91F"/>
    <w:rsid w:val="7DDFA520"/>
    <w:rsid w:val="7E376FDC"/>
    <w:rsid w:val="7EF3F913"/>
    <w:rsid w:val="7F6F5424"/>
    <w:rsid w:val="7FEFC860"/>
    <w:rsid w:val="9F75CC5A"/>
    <w:rsid w:val="A7FD256F"/>
    <w:rsid w:val="ACBECAA6"/>
    <w:rsid w:val="AF6F2023"/>
    <w:rsid w:val="AFBBC734"/>
    <w:rsid w:val="AFBFBBC5"/>
    <w:rsid w:val="BA3F5E7F"/>
    <w:rsid w:val="BBAFF1EB"/>
    <w:rsid w:val="BE3A39A8"/>
    <w:rsid w:val="BE7B8FC9"/>
    <w:rsid w:val="BEFE8F1E"/>
    <w:rsid w:val="BF3BCFAA"/>
    <w:rsid w:val="BFFDE236"/>
    <w:rsid w:val="CEFDD6F2"/>
    <w:rsid w:val="CF562C43"/>
    <w:rsid w:val="CFDB8936"/>
    <w:rsid w:val="CFDFE3B4"/>
    <w:rsid w:val="CFFFBF98"/>
    <w:rsid w:val="DADD7785"/>
    <w:rsid w:val="DE7E797B"/>
    <w:rsid w:val="DEFAE2D6"/>
    <w:rsid w:val="E5EBFDFF"/>
    <w:rsid w:val="E79EF96F"/>
    <w:rsid w:val="E9151413"/>
    <w:rsid w:val="E94691F1"/>
    <w:rsid w:val="EAFCC733"/>
    <w:rsid w:val="EDFA94CC"/>
    <w:rsid w:val="EEF7FEB0"/>
    <w:rsid w:val="EF4FB923"/>
    <w:rsid w:val="F36316F3"/>
    <w:rsid w:val="F5D74C27"/>
    <w:rsid w:val="F6E74AAB"/>
    <w:rsid w:val="F7DBD39E"/>
    <w:rsid w:val="F7FE9408"/>
    <w:rsid w:val="F9FEBCD4"/>
    <w:rsid w:val="FA4FDA82"/>
    <w:rsid w:val="FB75D239"/>
    <w:rsid w:val="FBFFC132"/>
    <w:rsid w:val="FCFF5A3E"/>
    <w:rsid w:val="FD976DEA"/>
    <w:rsid w:val="FDFBB5E7"/>
    <w:rsid w:val="FDFF956C"/>
    <w:rsid w:val="FE766C50"/>
    <w:rsid w:val="FEED2FFB"/>
    <w:rsid w:val="FF344669"/>
    <w:rsid w:val="FF7958A3"/>
    <w:rsid w:val="FF7F7D75"/>
    <w:rsid w:val="FFFF9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1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7"/>
    <w:qFormat/>
    <w:uiPriority w:val="99"/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19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99</TotalTime>
  <ScaleCrop>false</ScaleCrop>
  <LinksUpToDate>false</LinksUpToDate>
  <CharactersWithSpaces>654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2023-07-28T23:09:00Z</dcterms:created>
  <dc:creator>Киселев Виктор Вадимович</dc:creator>
  <cp:lastModifiedBy>merkulovaay</cp:lastModifiedBy>
  <cp:lastPrinted>2021-10-13T05:51:00Z</cp:lastPrinted>
  <dcterms:modified xsi:type="dcterms:W3CDTF">2024-03-06T15:38:11Z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