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color w:val="auto"/>
          <w:sz w:val="32"/>
          <w:szCs w:val="32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color w:val="auto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МИНИСТЕРСТВО СТРОИТЕЛЬСТВА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 ЖИЛИЩНОЙ ПОЛИТИКИ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КАМЧАТСКОГО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BFBFBF" w:themeColor="background1" w:themeShade="BF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>ПРИКАЗ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BFBFBF" w:themeColor="background1" w:themeShade="BF"/>
          <w:sz w:val="16"/>
          <w:szCs w:val="16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BFBFBF" w:themeColor="background1" w:themeShade="BF"/>
          <w:sz w:val="20"/>
          <w:szCs w:val="28"/>
          <w:lang w:eastAsia="ru-RU"/>
        </w:rPr>
      </w:pPr>
      <w:bookmarkStart w:id="2" w:name="_GoBack"/>
      <w:bookmarkEnd w:id="2"/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BFBFBF" w:themeColor="background1" w:themeShade="BF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BFBFBF" w:themeColor="background1" w:themeShade="BF"/>
                <w:sz w:val="24"/>
              </w:rPr>
              <w:t>[</w:t>
            </w:r>
            <w:r>
              <w:rPr>
                <w:rFonts w:ascii="Times New Roman" w:hAnsi="Times New Roman"/>
                <w:color w:val="BFBFBF" w:themeColor="background1" w:themeShade="BF"/>
                <w:sz w:val="22"/>
                <w:szCs w:val="22"/>
              </w:rPr>
              <w:t>Дата регистрации] № [Номер документа]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10"/>
        <w:tblW w:w="9210" w:type="dxa"/>
        <w:tblInd w:w="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 внесении изменений в приказ Министерства строительства и жилищной политики Камчатского края от 28.12.2020 № 32.32/3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«Об утверждении Порядка предоставления социальной выплаты на строительство или приобретение жилого помещения в собственность гражданам, имеющим в составе семьи детей-инвалидов»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</w:p>
    <w:p>
      <w:pPr>
        <w:tabs>
          <w:tab w:val="left" w:pos="426"/>
          <w:tab w:val="left" w:pos="709"/>
        </w:tabs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В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ru-RU"/>
        </w:rPr>
        <w:t xml:space="preserve"> целях уточнения отдельных положений</w:t>
      </w:r>
      <w:r>
        <w:rPr>
          <w:rFonts w:ascii="Times New Roman" w:hAnsi="Times New Roman"/>
          <w:color w:val="auto"/>
          <w:sz w:val="28"/>
        </w:rPr>
        <w:t xml:space="preserve">, а также учитывая протест прокуратуры Камчатского края от </w:t>
      </w:r>
      <w:r>
        <w:rPr>
          <w:rFonts w:hint="default" w:ascii="Times New Roman" w:hAnsi="Times New Roman"/>
          <w:color w:val="auto"/>
          <w:sz w:val="28"/>
          <w:lang w:val="ru-RU"/>
        </w:rPr>
        <w:t>17</w:t>
      </w:r>
      <w:r>
        <w:rPr>
          <w:rFonts w:ascii="Times New Roman" w:hAnsi="Times New Roman"/>
          <w:color w:val="auto"/>
          <w:sz w:val="28"/>
        </w:rPr>
        <w:t>.</w:t>
      </w:r>
      <w:r>
        <w:rPr>
          <w:rFonts w:hint="default" w:ascii="Times New Roman" w:hAnsi="Times New Roman"/>
          <w:color w:val="auto"/>
          <w:sz w:val="28"/>
          <w:lang w:val="ru-RU"/>
        </w:rPr>
        <w:t>01</w:t>
      </w:r>
      <w:r>
        <w:rPr>
          <w:rFonts w:ascii="Times New Roman" w:hAnsi="Times New Roman"/>
          <w:color w:val="auto"/>
          <w:sz w:val="28"/>
        </w:rPr>
        <w:t>.20</w:t>
      </w:r>
      <w:r>
        <w:rPr>
          <w:rFonts w:hint="default" w:ascii="Times New Roman" w:hAnsi="Times New Roman"/>
          <w:color w:val="auto"/>
          <w:sz w:val="28"/>
          <w:lang w:val="ru-RU"/>
        </w:rPr>
        <w:t>24</w:t>
      </w:r>
      <w:r>
        <w:rPr>
          <w:rFonts w:ascii="Times New Roman" w:hAnsi="Times New Roman"/>
          <w:color w:val="auto"/>
          <w:sz w:val="28"/>
        </w:rPr>
        <w:t xml:space="preserve"> № 21-09-202</w:t>
      </w:r>
      <w:r>
        <w:rPr>
          <w:rFonts w:hint="default" w:ascii="Times New Roman" w:hAnsi="Times New Roman"/>
          <w:color w:val="auto"/>
          <w:sz w:val="28"/>
          <w:lang w:val="ru-RU"/>
        </w:rPr>
        <w:t>4</w:t>
      </w:r>
      <w:r>
        <w:rPr>
          <w:rFonts w:ascii="Times New Roman" w:hAnsi="Times New Roman"/>
          <w:color w:val="auto"/>
          <w:sz w:val="28"/>
        </w:rPr>
        <w:t xml:space="preserve">,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/>
        </w:rPr>
        <w:t>ПРИКАЗЫВАЮ: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en-US"/>
        </w:rPr>
      </w:pP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en-US"/>
        </w:rPr>
        <w:t xml:space="preserve">Внести в приложение к приказу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>Министерства строительства и жилищной политики Камчатского края от 28.12.2020 № 32.32/3 «Об утверждении Порядка предоставления социальной выплаты на строительство или приобретение жилого помещения в собственность гражданам, имеющим в составе семьи детей-инвалидов»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en-US"/>
        </w:rPr>
        <w:t xml:space="preserve"> следующие изменения: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>1) часть 7 изложить в следующей редакции: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>«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7.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Право на получение социальной выплаты в соответствии с настоящим Порядком имеют граждане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, соответствующие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следующи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услови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ям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: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1) признание нуждающимся в жилом помещении жилищного фонда Камчатского края, предоставляемом по договору социального найма, и принятие на учет граждан в качестве нуждающихся в жилых помещениях в соотвествии с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Законом Камчатского края от 31.03.2009 № 253 «О порядке предоставления жилых помещений жилищного фонда Камчатского края по договор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социального найма»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2)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прожива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ние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в Камчатском крае не менее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пяти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лет,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предшествующих дате принятия на учет граждан в качестве нуждающихся в жилых помещениях;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3) наличие в составе семьи гражданина ребенка-инвалида (детей-инвалидов).»;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sectPr>
          <w:headerReference r:id="rId5" w:type="default"/>
          <w:pgSz w:w="11906" w:h="16838"/>
          <w:pgMar w:top="1134" w:right="850" w:bottom="964" w:left="1418" w:header="709" w:footer="709" w:gutter="0"/>
          <w:pgNumType w:fmt="decimal"/>
          <w:cols w:space="708" w:num="1"/>
          <w:titlePg/>
          <w:docGrid w:linePitch="360" w:charSpace="0"/>
        </w:sectPr>
      </w:pP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2) часть 9 после слова «период,» дополнить словами «с момента доведения лимитов бюджетных обязательств»;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3) в части 10 слово «уведомляет» заменить словами «в течение 5 дней со дня включения в список уведомляет любым доступным способом»;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4) часть 11 после слова «учет» дополнить словом «граждан»;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5) в части 12 слово «непредставившие» заменить словами «не представившие», слова «срок определенный» заменить словами «срок, определенный»;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6) часть 13 изложить в следующей редакции: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«13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. Предоставление социальной выплаты гражданам осуществляется на основании следующих документов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информации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):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1)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представляемых гражданином или его представителем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а) заявлени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я о предоставлении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по форме согласно приложению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к настоящему Порядку;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б) документ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, удостоверяющи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х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личность гражданина и членов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его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семьи;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в) обязательств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о сдаче (освобождении) жилого помещения, занимаемого на основании договора социального найма (найма), в двух экземплярах по форме согласно приложению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к настоящему Порядку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2)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документов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(информации)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, запрашиваемых в порядке межведомственного информационного взаимодействия в органах государственной власти, органах местного самоуправления и подведомственных органам государственной власти или органам местного самоуправления организациях, в распоряжении которых находятся данные документы и (или) информация: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а) документа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информации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) из Единого государственного реестра записей актов гражданского состояния в части актов гражданского состояния, подтверждающих состав семьи гражданина;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б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) документа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информации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) из федерального реестра инвалидов;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) документов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информации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из Единого государственного реестра недвижимости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о наличии (отсутствии) у гражданина и членов его семьи зарегистрированных прав на жилые помещения;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г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) документов (информации) органа регистрационного учета граждан Российской Федерации по месту пребывания и по месту жительства в пределах Российской Федерации, подтверждающих(ей) проживание гражданина и (или) членов его семьи в Камчатском крае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.»;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7) в части 15 слово «Сведения» заменить словами «Документы (информацию)»;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8) в части 16 слова «указанные в части 13» заменить словами «представленные гражданином в соответствии с частью 13»;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9) в части 17 слово «срок» заменить словом «срок,»;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10) пункт 3 части 20 изложить в следующей редакции: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«3)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свидетельствующ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его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об отсутствии документа (информации), необходим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ого (необходимой)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для предоставления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если соответствующий документ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информация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) не представлены гражданином по собственной инициативе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), в случае, предусмотренном частью 21 настоящего Порядка.»;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11) в части 21 слова «документ (сведения), необходимые» заменить словами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«документы (информацию), необходимые (необходимую)», слово «(сведения) заменить словом (информация)»;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12) в пункте 2 части 23 слова «50 квадратных метров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–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» заменить словами «42 квадратных метра»;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13) ч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асть 29 изложить в следующей редакции: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«29.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Приобретаем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ые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(построенн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е)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за счет средств социальной выплаты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жил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е помещен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оформля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ю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тся в общую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(совместную, долевую)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собственность всех членов семьи гражданина.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14) часть 30 после слова «Приобретение» дополнить словами «за счет средств социальной выплаты», после слова «признанного» дополнить словом «(признанных)», после слова «непригодным» дополнить словом «(непригодными)»;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15) пункт 2 части 32 после слова «явившегося» дополнить словом «(явившихся)», после слова «приобретенное» дополнить словом «(приобретенные)», после слова «его» дополнить словом «(их)»;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16) часть 33 изложить в следующей редакции: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«33.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В договор купли-продажи жилого помещения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 в обязательном порядке должна быть включена следующая информация: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1) о приобретении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жило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помещени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за счет средств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2) 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размер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е предоставленной гражданину социальной выплаты;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3) 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приказ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о предоставлении социальной выплаты (номер, дата выдачи, орган, издавший приказ)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.»;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17) часть 35 изложить в следующей редакции: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«35.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В договор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участия в долевом строительстве многоквартирного дома в обязательном порядке должна быть включена следующая информация: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1) о приобретении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жило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помещени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за счет средств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 xml:space="preserve">2) 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>размер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е предоставленной гражданину социальной выплаты;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3) 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приказ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  <w:t xml:space="preserve"> о предоставлении социальной выплаты (номер, дата выдачи, орган, издавший приказ)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.»;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18) в части 36 после слова «приобретаемого» дополнить словом «(приобретаемых)», слово «указанной» заменить словом «указанного».</w:t>
      </w:r>
    </w:p>
    <w:p>
      <w:pPr>
        <w:numPr>
          <w:ilvl w:val="0"/>
          <w:numId w:val="0"/>
        </w:numPr>
        <w:spacing w:after="0" w:line="240" w:lineRule="auto"/>
        <w:ind w:left="9" w:leftChars="0" w:firstLine="700" w:firstLineChars="25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ru-RU" w:eastAsia="zh-CN" w:bidi="ar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en-US" w:eastAsia="zh-CN"/>
        </w:rPr>
        <w:t>Наст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оящий приказ вступает в силу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  <w:t xml:space="preserve">после дня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 xml:space="preserve">его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  <w:t>официального опубликования и распространяется на правоотношения, возникшие с 1 января 2024 года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 w:eastAsia="zh-CN"/>
        </w:rPr>
        <w:t xml:space="preserve"> </w:t>
      </w: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tbl>
      <w:tblPr>
        <w:tblStyle w:val="3"/>
        <w:tblW w:w="96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3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Врио Министра</w:t>
            </w:r>
          </w:p>
          <w:p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BFBFBF" w:themeColor="background1" w:themeShade="B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31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А</w:t>
            </w:r>
            <w:r>
              <w:rPr>
                <w:rFonts w:hint="default" w:ascii="Times New Roman" w:hAnsi="Times New Roman"/>
                <w:color w:val="auto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color w:val="auto"/>
                <w:sz w:val="28"/>
              </w:rPr>
              <w:t>В. Фирстов</w:t>
            </w:r>
          </w:p>
        </w:tc>
      </w:tr>
    </w:tbl>
    <w:p>
      <w:pP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sectPr>
      <w:headerReference r:id="rId7" w:type="first"/>
      <w:headerReference r:id="rId6" w:type="default"/>
      <w:pgSz w:w="11906" w:h="16838"/>
      <w:pgMar w:top="1134" w:right="850" w:bottom="964" w:left="1418" w:header="709" w:footer="709" w:gutter="0"/>
      <w:pgNumType w:fmt="decimal" w:start="2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kNWjQQQIAAHMEAAAOAAAAZHJz&#10;L2Uyb0RvYy54bWytVEuOEzEQ3SNxB8t70p0gRlGUzihMFIQUMSMNiLXjdqdb8k+2k+6wg6NwBKTZ&#10;gARXyNyI5/5k0MBiFizifna5XlW9Kmd+2ShJDsL5yuiMjkcpJUJzk1d6l9EP79cvppT4wHTOpNEi&#10;o0fh6eXi+bN5bWdiYkojc+EISLSf1TajZQh2liSel0IxPzJWaBgL4xQL2LpdkjtWg13JZJKmF0lt&#10;XG6d4cJ7nK46I+0Z3VMITVFUXKwM3yuhQ8fqhGQBJfmysp4u2myLQvBwXRReBCIzikpDuyII8Dau&#10;yWLOZjvHbFnxPgX2lBQe1aRYpRH0TLVigZG9q/6iUhV3xpsijLhRSVdIqwiqGKePtLktmRVtLZDa&#10;27Po/v/R8neHG0eqHJNAiWYKDT99Pd2dvt9/vv9y+nn6ht8dOf3C5wfAOApWWz+D362FZ2hemyY6&#10;9+ceh1GHpnAqflEhgR1yH89yiyYQHp2mk+k0hYnDNmzAkzy4W+fDG2EUiSCjDv1sZWaHjQ/d1eFK&#10;jKbNupIS52wmNakzevHyVdo6nC0glxoxYhFdshGFZtv0FWxNfkRhznSz4i1fVwi+YT7cMIfhQMJ4&#10;PuEaSyENgpgeUVIa9+lf5/E+egYrJTWGLaMab4sS+VajlyAMA3AD2A5A79WVwfSiP8ilhXBwQQ6w&#10;cEZ9xJtaxhgwMc0RKaNhgFehG3i8SS6Wy/bS3rpqV3YOmETLwkbfWh7DRPW8Xe4DxGw1jgJ1qvS6&#10;YRbbLvXvJg77n/v21sN/x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UAAAACACHTuJAihRm&#10;PNEAAACUAQAACwAAAAAAAAABACAAAADGAwAAX3JlbHMvLnJlbHNQSwECFAAKAAAAAACHTuJAAAAA&#10;AAAAAAAAAAAABgAAAAAAAAAAABAAAACiAwAAX3JlbHMvUEsBAhQAFAAAAAgAh07iQKQ1aNBBAgAA&#10;cwQAAA4AAAAAAAAAAQAgAAAANQEAAGRycy9lMm9Eb2MueG1sUEsBAhQAFAAAAAgAh07iQLNJWO7Q&#10;AAAABQEAAA8AAAAAAAAAAQAgAAAAOAAAAGRycy9kb3ducmV2LnhtbFBLAQIUAAoAAAAAAIdO4kAA&#10;AAAAAAAAAAAAAAAEAAAAAAAAAAAAEAAAABYAAABkcnMvUEsFBgAAAAAGAAYAWQEAAO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SPbpQgIAAHMEAAAOAAAAZHJz&#10;L2Uyb0RvYy54bWytVEuOEzEQ3SNxB8t70p0gRlGUzihMFIQUMSMNiLXjdqdb8k+2k+6wg6NwBKTZ&#10;gARXyNyI5/5k0MBiFizifna5XrleVWV+2ShJDsL5yuiMjkcpJUJzk1d6l9EP79cvppT4wHTOpNEi&#10;o0fh6eXi+bN5bWdiYkojc+EISLSf1TajZQh2liSel0IxPzJWaBgL4xQL2LpdkjtWg13JZJKmF0lt&#10;XG6d4cJ7nK46I+0Z3VMITVFUXKwM3yuhQ8fqhGQBKfmysp4u2tcWheDhuii8CERmFJmGdkUQ4G1c&#10;k8WczXaO2bLi/RPYU57wKCfFKo2gZ6oVC4zsXfUXlaq4M94UYcSNSrpEWkWQxTh9pM1tyaxoc4HU&#10;3p5F9/+Plr873DhS5RmdUKKZQsFPX093p+/3n++/nH6evuF3R06/8PkBMImC1dbP4Hdr4Rma16ZB&#10;Gw3nHodRh6ZwKn6RIYEdch/PcosmEB6dppPpNIWJwzZswJ88uFvnwxthFIkgow71bGVmh40P3dXh&#10;SoymzbqSsq2p1KTO6MXLV2nrcLaAXGrEiEl0j40oNNumz2xr8iMSc6brFW/5ukLwDfPhhjk0Bx6M&#10;8QnXWAppEMT0iJLSuE//Oo/3UTNYKanRbBnVmC1K5FuNWoIwDMANYDsAvVdXBt07xlha3kI4uCAH&#10;WDijPmKmljEGTExzRMpoGOBV6BoeM8nFctle2ltX7crOAZ1oWdjoW8tjmCikt8t9gJitxlGgTpVe&#10;N/RiW6V+bmKz/7lvbz38Vy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FAAAAAgAh07iQIoU&#10;ZjzRAAAAlAEAAAsAAAAAAAAAAQAgAAAAxwMAAF9yZWxzLy5yZWxzUEsBAhQACgAAAAAAh07iQAAA&#10;AAAAAAAAAAAAAAYAAAAAAAAAAAAQAAAAowMAAF9yZWxzL1BLAQIUABQAAAAIAIdO4kADSPbpQgIA&#10;AHMEAAAOAAAAAAAAAAEAIAAAADUBAABkcnMvZTJvRG9jLnhtbFBLAQIUABQAAAAIAIdO4kCzSVju&#10;0AAAAAUBAAAPAAAAAAAAAAEAIAAAADgAAABkcnMvZG93bnJldi54bWxQSwECFAAKAAAAAACHTuJA&#10;AAAAAAAAAAAAAAAABAAAAAAAAAAAABAAAAAWAAAAZHJzL1BLBQYAAAAABgAGAFkBAADp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E16F6"/>
    <w:multiLevelType w:val="singleLevel"/>
    <w:tmpl w:val="7FEE16F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284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A110F"/>
    <w:rsid w:val="001C0F50"/>
    <w:rsid w:val="001C15D6"/>
    <w:rsid w:val="001C4098"/>
    <w:rsid w:val="001D00F5"/>
    <w:rsid w:val="001D4724"/>
    <w:rsid w:val="00213104"/>
    <w:rsid w:val="002142CB"/>
    <w:rsid w:val="00233FCB"/>
    <w:rsid w:val="0024385A"/>
    <w:rsid w:val="00243A93"/>
    <w:rsid w:val="00257670"/>
    <w:rsid w:val="00291B2A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AFE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C61AF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0456D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3370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309D9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AF7133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57B9A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B0A38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  <w:rsid w:val="01FA7596"/>
    <w:rsid w:val="157E451D"/>
    <w:rsid w:val="1BFFEA95"/>
    <w:rsid w:val="1FFB0207"/>
    <w:rsid w:val="23D6EFDD"/>
    <w:rsid w:val="2C5E4A9D"/>
    <w:rsid w:val="2FD79495"/>
    <w:rsid w:val="37F6487E"/>
    <w:rsid w:val="37FCA356"/>
    <w:rsid w:val="3DBF1E47"/>
    <w:rsid w:val="3E87E969"/>
    <w:rsid w:val="3EB7CD4E"/>
    <w:rsid w:val="3EF283E2"/>
    <w:rsid w:val="3F6F43E8"/>
    <w:rsid w:val="3FCFE8E9"/>
    <w:rsid w:val="3FEF0D09"/>
    <w:rsid w:val="3FFC1801"/>
    <w:rsid w:val="49FF23C4"/>
    <w:rsid w:val="4BEF0DF4"/>
    <w:rsid w:val="4CCFD7E8"/>
    <w:rsid w:val="4DEF40D8"/>
    <w:rsid w:val="4EFD4F70"/>
    <w:rsid w:val="4F7EF192"/>
    <w:rsid w:val="51B76704"/>
    <w:rsid w:val="525F676E"/>
    <w:rsid w:val="53FF860A"/>
    <w:rsid w:val="55CD2A57"/>
    <w:rsid w:val="56716797"/>
    <w:rsid w:val="5D79A9EE"/>
    <w:rsid w:val="5DBF4EC5"/>
    <w:rsid w:val="5DFC0CAF"/>
    <w:rsid w:val="5EE55DA2"/>
    <w:rsid w:val="5EE5C023"/>
    <w:rsid w:val="5F355C06"/>
    <w:rsid w:val="5F5F5670"/>
    <w:rsid w:val="5FFEBAA0"/>
    <w:rsid w:val="63FBB205"/>
    <w:rsid w:val="69CF4675"/>
    <w:rsid w:val="6A8901BF"/>
    <w:rsid w:val="6BFF35CB"/>
    <w:rsid w:val="6EDBAD7E"/>
    <w:rsid w:val="6F292C45"/>
    <w:rsid w:val="6FEF9A39"/>
    <w:rsid w:val="6FFFB4CF"/>
    <w:rsid w:val="73DB23E2"/>
    <w:rsid w:val="73FF4183"/>
    <w:rsid w:val="74FF3313"/>
    <w:rsid w:val="7527812B"/>
    <w:rsid w:val="777D6897"/>
    <w:rsid w:val="77A38C5C"/>
    <w:rsid w:val="77F746CB"/>
    <w:rsid w:val="77FE4634"/>
    <w:rsid w:val="77FFCC61"/>
    <w:rsid w:val="797FCCA9"/>
    <w:rsid w:val="7AE5BECD"/>
    <w:rsid w:val="7AFB5F74"/>
    <w:rsid w:val="7BD4497C"/>
    <w:rsid w:val="7BFF37E2"/>
    <w:rsid w:val="7CEFDDF9"/>
    <w:rsid w:val="7D7D8427"/>
    <w:rsid w:val="7DDD585A"/>
    <w:rsid w:val="7DEE9B5E"/>
    <w:rsid w:val="7DFB03AD"/>
    <w:rsid w:val="7E67897C"/>
    <w:rsid w:val="7F7CF78F"/>
    <w:rsid w:val="7F7EAE15"/>
    <w:rsid w:val="7F993603"/>
    <w:rsid w:val="7F9B09AC"/>
    <w:rsid w:val="7FAE011A"/>
    <w:rsid w:val="7FEF6C75"/>
    <w:rsid w:val="7FFF0BFE"/>
    <w:rsid w:val="831D6173"/>
    <w:rsid w:val="8BEFEFD4"/>
    <w:rsid w:val="8FAFDB25"/>
    <w:rsid w:val="9E59A259"/>
    <w:rsid w:val="9FFFD30B"/>
    <w:rsid w:val="AF0D8A4D"/>
    <w:rsid w:val="AFC5EE48"/>
    <w:rsid w:val="AFF734BF"/>
    <w:rsid w:val="B1BA92EE"/>
    <w:rsid w:val="B6B31C96"/>
    <w:rsid w:val="BAFC4E9C"/>
    <w:rsid w:val="BB6F96F6"/>
    <w:rsid w:val="BBFE171A"/>
    <w:rsid w:val="BDFF0B33"/>
    <w:rsid w:val="BEBF276A"/>
    <w:rsid w:val="BFDF8564"/>
    <w:rsid w:val="C5A5EF5F"/>
    <w:rsid w:val="C5FF7FFC"/>
    <w:rsid w:val="C7FFF88C"/>
    <w:rsid w:val="CDFD3BB0"/>
    <w:rsid w:val="CEE77633"/>
    <w:rsid w:val="CFBF2CAD"/>
    <w:rsid w:val="CFFF7F21"/>
    <w:rsid w:val="D5DBD153"/>
    <w:rsid w:val="D9DBB8B2"/>
    <w:rsid w:val="DBB32719"/>
    <w:rsid w:val="DD6F1B5F"/>
    <w:rsid w:val="DDF7933E"/>
    <w:rsid w:val="DE6791F8"/>
    <w:rsid w:val="DEB982EB"/>
    <w:rsid w:val="DEDFFFB8"/>
    <w:rsid w:val="DEFB4AAC"/>
    <w:rsid w:val="DF5728F6"/>
    <w:rsid w:val="DF7D75E2"/>
    <w:rsid w:val="DFDE34F1"/>
    <w:rsid w:val="DFFE7336"/>
    <w:rsid w:val="E1FF5514"/>
    <w:rsid w:val="E6D73286"/>
    <w:rsid w:val="E7FEFCBC"/>
    <w:rsid w:val="E99FA842"/>
    <w:rsid w:val="ED0EC03B"/>
    <w:rsid w:val="ED5EFE02"/>
    <w:rsid w:val="EF1F830C"/>
    <w:rsid w:val="EF7F58BC"/>
    <w:rsid w:val="EFE8CC1B"/>
    <w:rsid w:val="EFE905F5"/>
    <w:rsid w:val="EFFF01CB"/>
    <w:rsid w:val="EFFF7EBE"/>
    <w:rsid w:val="F3AC1FA6"/>
    <w:rsid w:val="F3F42647"/>
    <w:rsid w:val="F3FF2F9A"/>
    <w:rsid w:val="F6B97CF2"/>
    <w:rsid w:val="F77F24C4"/>
    <w:rsid w:val="F77F6A34"/>
    <w:rsid w:val="F9D7DC36"/>
    <w:rsid w:val="F9E7C43B"/>
    <w:rsid w:val="FAADD583"/>
    <w:rsid w:val="FAEF4052"/>
    <w:rsid w:val="FB2B066E"/>
    <w:rsid w:val="FB8D1808"/>
    <w:rsid w:val="FBDFA80C"/>
    <w:rsid w:val="FBFF9C29"/>
    <w:rsid w:val="FD57109B"/>
    <w:rsid w:val="FD772535"/>
    <w:rsid w:val="FD7C18F0"/>
    <w:rsid w:val="FD7EB7F6"/>
    <w:rsid w:val="FD7F150D"/>
    <w:rsid w:val="FE2D7E99"/>
    <w:rsid w:val="FE3A289A"/>
    <w:rsid w:val="FE750148"/>
    <w:rsid w:val="FED75C7E"/>
    <w:rsid w:val="FF5E7FDB"/>
    <w:rsid w:val="FF6924C9"/>
    <w:rsid w:val="FF7C848C"/>
    <w:rsid w:val="FFB5647F"/>
    <w:rsid w:val="FFBF02BD"/>
    <w:rsid w:val="FFD7236C"/>
    <w:rsid w:val="FFFD8604"/>
    <w:rsid w:val="FFFDE2DA"/>
    <w:rsid w:val="FFFF282C"/>
    <w:rsid w:val="FFFF625D"/>
    <w:rsid w:val="FFFFA83B"/>
    <w:rsid w:val="FFFFD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1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2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Знак"/>
    <w:basedOn w:val="2"/>
    <w:link w:val="6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2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"/>
    <w:basedOn w:val="2"/>
    <w:link w:val="7"/>
    <w:qFormat/>
    <w:uiPriority w:val="99"/>
  </w:style>
  <w:style w:type="table" w:customStyle="1" w:styleId="15">
    <w:name w:val="Сетка таблицы1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2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PlusNormal"/>
    <w:link w:val="18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8">
    <w:name w:val="ConsPlusNormal Знак"/>
    <w:link w:val="17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&lt;041E&gt;&lt;0441&gt;&lt;043D&gt;&lt;043E&gt;&lt;0432&gt;&lt;043D&gt;&lt;043E&gt;&lt;0439&gt; &lt;0426&gt;&lt;0435&gt;&lt;043D&gt;&lt;0442&gt;&lt;0440&gt;"/>
    <w:basedOn w:val="1"/>
    <w:qFormat/>
    <w:uiPriority w:val="0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  <w:style w:type="character" w:customStyle="1" w:styleId="21">
    <w:name w:val="&lt;041E&gt;&lt;0441&gt;&lt;043D&gt;&lt;043E&gt;&lt;0432&gt;&lt;043D&gt;&lt;043E&gt;&lt;0439&gt;1"/>
    <w:qFormat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729</Words>
  <Characters>4160</Characters>
  <Lines>34</Lines>
  <Paragraphs>9</Paragraphs>
  <TotalTime>61</TotalTime>
  <ScaleCrop>false</ScaleCrop>
  <LinksUpToDate>false</LinksUpToDate>
  <CharactersWithSpaces>4880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2023-10-28T21:55:00Z</dcterms:created>
  <dc:creator>Киселев Виктор Вадимович</dc:creator>
  <cp:lastModifiedBy>merkulovaay</cp:lastModifiedBy>
  <cp:lastPrinted>2024-02-02T09:09:54Z</cp:lastPrinted>
  <dcterms:modified xsi:type="dcterms:W3CDTF">2024-02-02T10:42:30Z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