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rPr>
          <w:rFonts w:ascii="Times New Roman" w:hAnsi="Times New Roman" w:eastAsia="Times New Roman" w:cs="Times New Roman"/>
          <w:b/>
          <w:bCs/>
          <w:sz w:val="20"/>
          <w:szCs w:val="20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 xml:space="preserve">МИНИСТЕРСТВО СТРОИТЕЛЬСТВА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>И ЖИЛИЩНОЙ ПОЛИТИКИ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t>КАМЧАТСКОГО КРАЯ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  <w:t>ПРИКАЗ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jc w:val="center"/>
        <w:rPr>
          <w:rFonts w:ascii="Times New Roman" w:hAnsi="Times New Roman" w:eastAsia="Times New Roman" w:cs="Times New Roman"/>
          <w:sz w:val="16"/>
          <w:szCs w:val="16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highlight w:val="none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</w:pPr>
            <w:bookmarkStart w:id="0" w:name="REGNUMDATESTAMP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[</w:t>
            </w:r>
            <w:r>
              <w:rPr>
                <w:rFonts w:ascii="Times New Roman" w:hAnsi="Times New Roman"/>
                <w:color w:val="D9D9D9" w:themeColor="background1" w:themeShade="D9"/>
                <w:sz w:val="22"/>
                <w:szCs w:val="22"/>
                <w:highlight w:val="none"/>
              </w:rPr>
              <w:t>Дата регистрации] № [Номер документа]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rPr>
                <w:rFonts w:ascii="Times New Roman" w:hAnsi="Times New Roman"/>
                <w:color w:val="auto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rPr>
                <w:rFonts w:ascii="Times New Roman" w:hAnsi="Times New Roman"/>
                <w:sz w:val="20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none"/>
        </w:rPr>
      </w:pPr>
    </w:p>
    <w:tbl>
      <w:tblPr>
        <w:tblStyle w:val="9"/>
        <w:tblW w:w="9210" w:type="dxa"/>
        <w:tblInd w:w="3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О внесении изменений в приказ Министерства строительства и жилищной политики Камчатского края от 28.12.2020 № 32.32/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«Об утверждении Порядка предоставления социальной выплаты на строительство или приобретение жилого помещения в собственность граждан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ам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 xml:space="preserve">,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состав семьи которых не менее 4-х детей или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не менее 3-х одновременно рожденных детей в возрасте до 18-ти лет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 xml:space="preserve">и одиноким матерям (отцам), воспитывающим не менее 3-х детей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в возрасте до 18-ти 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</w:rPr>
              <w:t>»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</w:p>
    <w:p>
      <w:pPr>
        <w:keepNext w:val="0"/>
        <w:keepLines w:val="0"/>
        <w:pageBreakBefore w:val="0"/>
        <w:widowControl w:val="0"/>
        <w:tabs>
          <w:tab w:val="left" w:pos="426"/>
          <w:tab w:val="left" w:pos="709"/>
        </w:tabs>
        <w:kinsoku w:val="0"/>
        <w:wordWrap/>
        <w:overflowPunct/>
        <w:topLinePunct w:val="0"/>
        <w:bidi w:val="0"/>
        <w:snapToGrid/>
        <w:spacing w:before="0" w:after="0" w:line="240" w:lineRule="auto"/>
        <w:ind w:left="0" w:right="0" w:firstLine="709"/>
        <w:jc w:val="both"/>
        <w:rPr>
          <w:rFonts w:ascii="Times New Roman" w:hAnsi="Times New Roman"/>
          <w:color w:val="auto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ru-RU"/>
        </w:rPr>
        <w:t>В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ru-RU"/>
        </w:rPr>
        <w:t xml:space="preserve"> целях уточнения отдельных положений</w:t>
      </w:r>
      <w:r>
        <w:rPr>
          <w:rFonts w:ascii="Times New Roman" w:hAnsi="Times New Roman"/>
          <w:color w:val="auto"/>
          <w:sz w:val="28"/>
          <w:highlight w:val="none"/>
        </w:rPr>
        <w:t xml:space="preserve">, а также учитывая протест прокуратуры Камчатского края от 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>17</w:t>
      </w:r>
      <w:r>
        <w:rPr>
          <w:rFonts w:ascii="Times New Roman" w:hAnsi="Times New Roman"/>
          <w:color w:val="auto"/>
          <w:sz w:val="28"/>
          <w:highlight w:val="none"/>
        </w:rPr>
        <w:t>.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>01</w:t>
      </w:r>
      <w:r>
        <w:rPr>
          <w:rFonts w:ascii="Times New Roman" w:hAnsi="Times New Roman"/>
          <w:color w:val="auto"/>
          <w:sz w:val="28"/>
          <w:highlight w:val="none"/>
        </w:rPr>
        <w:t>.20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>24</w:t>
      </w:r>
      <w:r>
        <w:rPr>
          <w:rFonts w:ascii="Times New Roman" w:hAnsi="Times New Roman"/>
          <w:color w:val="auto"/>
          <w:sz w:val="28"/>
          <w:highlight w:val="none"/>
        </w:rPr>
        <w:t xml:space="preserve"> № 21-09-202</w:t>
      </w:r>
      <w:r>
        <w:rPr>
          <w:rFonts w:hint="default" w:ascii="Times New Roman" w:hAnsi="Times New Roman"/>
          <w:color w:val="auto"/>
          <w:sz w:val="28"/>
          <w:highlight w:val="none"/>
          <w:lang w:val="ru-RU"/>
        </w:rPr>
        <w:t>4</w:t>
      </w:r>
      <w:r>
        <w:rPr>
          <w:rFonts w:ascii="Times New Roman" w:hAnsi="Times New Roman"/>
          <w:color w:val="auto"/>
          <w:sz w:val="28"/>
          <w:highlight w:val="none"/>
        </w:rPr>
        <w:t xml:space="preserve">, 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ru-RU" w:eastAsia="ru-RU"/>
        </w:rPr>
        <w:t>ПРИКАЗЫВАЮ: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highlight w:val="none"/>
          <w:lang w:val="ru-RU" w:eastAsia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en-US" w:bidi="ar"/>
        </w:rPr>
        <w:t xml:space="preserve">1. Внести в приложение к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приказ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 Министерства строительства и жилищной политики Камчатского края от 28.12.2020 № 32.32/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 «Об утверждении Порядка предоставления социальной выплаты на строительство или приобретение жилого помещения в собственность граждан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ам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 xml:space="preserve">,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состав семьи которых не менее 4-х детей или не менее 3-х одновременно рожденных детей в возрасте до 18-ти лет и одиноким матерям (отцам), воспитывающим</w:t>
      </w:r>
      <w:bookmarkStart w:id="2" w:name="_GoBack"/>
      <w:bookmarkEnd w:id="2"/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 не менее 3-х детей в возрасте до 18-ти лет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en-US" w:bidi="ar"/>
        </w:rPr>
        <w:t xml:space="preserve"> следующие изменения: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>1) часть 6 изложить в следующей редакции: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>«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6.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Право на получение социальной выплаты в соответствии с настоящим Порядком имеют граждане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, соответствующие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следующи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услови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1) признание нуждающимся в жилом помещении жилищного фонда Камчатского края, предоставляемом по договору социального найма, и принятие на учет граждан в качестве нуждающихся в жилых помещениях в соотвествии с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Законом Камчатского края от 31.03.2009 № 253 «О порядке предоставления жилых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помещений жилищного фонда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Камчатского края по договор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социального найма»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sectPr>
          <w:headerReference r:id="rId5" w:type="default"/>
          <w:pgSz w:w="11906" w:h="16838"/>
          <w:pgMar w:top="1134" w:right="850" w:bottom="964" w:left="1418" w:header="709" w:footer="709" w:gutter="0"/>
          <w:pgNumType w:fmt="decimal" w:start="2"/>
          <w:cols w:space="708" w:num="1"/>
          <w:titlePg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прожива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ние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в Камчатском крае не менее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пяти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лет,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предшествующих дате принятия на учет граждан в качестве нуждающихся в жилых помещениях;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3) наличие </w:t>
      </w:r>
      <w:r>
        <w:rPr>
          <w:rFonts w:hint="default" w:ascii="Times New Roman" w:hAnsi="Times New Roman" w:eastAsia="SimSun" w:cs="Times New Roman"/>
          <w:b w:val="0"/>
          <w:bCs w:val="0"/>
          <w:kern w:val="0"/>
          <w:sz w:val="28"/>
          <w:szCs w:val="28"/>
          <w:highlight w:val="none"/>
          <w:lang w:val="ru-RU" w:eastAsia="zh-CN" w:bidi="ar"/>
        </w:rPr>
        <w:t>в составе семьи гражданина не менее 4-х детей или не менее 3-х одновременно рожденных детей в возрасте до 18-ти лет либо наличие в составе семьи гражданина не менее 3-х детей в возрасте до 18-ти, воспитываемых одинокой матерью (отцом)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.»;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2) часть 8 после слова «период,» дополнить словами «с момента доведения лимитов бюджетных обязательств»;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3) в части 9 слово «уведомляет» заменить словами «в течение 5 дней со дня включения в список уведомляет любым доступным способом»;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4) часть 10 после слова «учет» дополнить словом «граждан»;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5) в части 11 слово «непредставившие» заменить словами «не представившие», слова «срок определенный» заменить словами «срок, определенный»;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6) часть 12 изложить в следующей редакции: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«12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. Предоставление социальной выплаты гражданам осуществляется на основании следующих документов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представляемых гражданином или его представителем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а) заявлени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 о предоставлении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 форме согласно приложению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к настоящему Порядку;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б) документ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ов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удостоверяющи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х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личность гражданина и членов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его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семьи;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в) обязательств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а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сдаче (освобождении) жилого помещения, занимаемого на основании договора социального найма (найма), в двух экземплярах по форме согласно приложению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к настоящему Порядку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документов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(информации)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, запрашиваемых в порядке межведомственного информационного взаимодействия в органах государственной власти, органах местного самоуправления и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и (или)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а) документа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из Единого государственного реестра записей актов гражданского состояния в части актов гражданского состояния, подтверждающих состав семьи гражданина;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б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документов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из Единого государственного реестра недвижимости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наличии (отсутствии) у гражданина и членов его семьи зарегистрированных прав на жилые помещения;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документов (информации) органа регистрационного учета граждан Российской Федерации по месту пребывания и по месту жительства в пределах Российской Федерации, подтверждающих(ей) проживание гражданина и (или) членов его семьи в Камчатском крае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7) в части 14 слово «Сведения» заменить словами «Документы (информацию)»;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8) в части 15 слова «указанные в части 12» заменить словами «представленные гражданином в соответствии с частью 12»;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9) в части 16 слово «срок» заменить словом «срок,»;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10) пункт 3 части 19 изложить в следующей редакции: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«3)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свидетельствующ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об отсутствии документа (информации), необходим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ого (необходимой)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для предоставления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если соответствующий документ (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информация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) не представлены гражданином по собственной инициативе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), в случае, предусмотренном частью 20 настоящего Порядка.»;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11) в части 20 слова «документ (сведения), необходимые» заменить словами «документы (информацию), необходимые (необходимую)», слово «(сведения) заменить словом (информация)»;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12) часть 29 изложить в следующей редакции: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«29.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Приобретаем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(построенн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е)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за счет средств социальной выплаты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жил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е помещен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оформля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ю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тся в общую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(совместную, долевую)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собственность всех членов семьи гражданина.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13) часть 30 после слова «Приобретение» дополнить словами «за счет средств социальной выплаты», после слова «признанного» дополнить словом «(признанных)», после слова «непригодным» дополнить словом «(непригодными)»;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14) пункт 2 части 32 после слова «явившегося» дополнить словом «(явившихся)», после слова «приобретенное» дополнить словом «(приобретенные)», после слова «его» дополнить словом «(их)»;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15) часть 33 изложить в следующей редакции: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«33.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В договор купли-продажи жилого помещения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 в обязательном порядке должна быть включена следующая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1) о приобретении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помещени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за счет средств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размер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 предоставленной гражданину социальной выплаты;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3)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приказ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предоставлении социальной выплаты (номер, дата выдачи, орган, издавший приказ)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16) часть 35 изложить в следующей редакции: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«35.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В договор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участия в долевом строительстве многоквартирного дома в обязательном порядке должна быть включена следующая информация: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1) о приобретении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жило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го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помещени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за счет средств социальной выплаты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 xml:space="preserve">2) о 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>размер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 предоставленной гражданину социальной выплаты;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3) о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приказ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о предоставлении социальной выплаты (номер, дата выдачи, орган, издавший приказ)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.»;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0" w:leftChars="0" w:firstLine="658" w:firstLineChars="235"/>
        <w:jc w:val="both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17) в части 36 после слова «приобретаемого» дополнить словом «(приобретаемых)», слово «указанной» заменить словом «указанного».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9" w:leftChars="0" w:firstLine="700" w:firstLineChars="25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8"/>
          <w:szCs w:val="28"/>
          <w:highlight w:val="none"/>
          <w:lang w:val="ru-RU" w:eastAsia="zh-CN" w:bidi="ar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>.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highlight w:val="none"/>
          <w:lang w:val="en-US" w:eastAsia="zh-CN"/>
        </w:rPr>
        <w:t>Наст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оящий приказ вступает в силу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после дня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его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>официального опубликования и распространяется на правоотношения, возникшие с 1 января 2024 года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bidi w:val="0"/>
        <w:snapToGrid/>
        <w:spacing w:after="0" w:line="240" w:lineRule="auto"/>
        <w:ind w:left="9" w:leftChars="0" w:firstLine="700" w:firstLineChars="25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tbl>
      <w:tblPr>
        <w:tblStyle w:val="3"/>
        <w:tblW w:w="96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Врио Министра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ind w:left="30" w:right="27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D9D9D9" w:themeColor="background1" w:themeShade="D9"/>
                <w:sz w:val="24"/>
                <w:highlight w:val="none"/>
              </w:rPr>
              <w:t>[горизонтальный штамп подписи 1]</w:t>
            </w:r>
            <w:bookmarkEnd w:id="1"/>
          </w:p>
        </w:tc>
        <w:tc>
          <w:tcPr>
            <w:tcW w:w="2310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bidi w:val="0"/>
              <w:snapToGrid/>
              <w:spacing w:after="0" w:line="240" w:lineRule="auto"/>
              <w:jc w:val="right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А</w:t>
            </w: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highlight w:val="none"/>
              </w:rPr>
              <w:t>В. Фирстов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bidi w:val="0"/>
        <w:snapToGrid/>
        <w:rPr>
          <w:rFonts w:hint="default" w:ascii="Times New Roman" w:hAnsi="Times New Roman" w:eastAsia="SimSun" w:cs="Times New Roman"/>
          <w:b/>
          <w:bCs/>
          <w:kern w:val="0"/>
          <w:sz w:val="28"/>
          <w:szCs w:val="28"/>
          <w:highlight w:val="none"/>
          <w:lang w:val="en-US" w:eastAsia="zh-CN" w:bidi="ar"/>
        </w:rPr>
      </w:pPr>
    </w:p>
    <w:sectPr>
      <w:headerReference r:id="rId7" w:type="first"/>
      <w:headerReference r:id="rId6" w:type="default"/>
      <w:pgSz w:w="11906" w:h="16838"/>
      <w:pgMar w:top="1134" w:right="850" w:bottom="744" w:left="1418" w:header="709" w:footer="709" w:gutter="0"/>
      <w:pgNumType w:fmt="decimal" w:start="2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文泉驿微米黑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文泉驿微米黑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Segoe UI">
    <w:altName w:val="Corbel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Текстовое 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Текстовое 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284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A110F"/>
    <w:rsid w:val="001C0F50"/>
    <w:rsid w:val="001C15D6"/>
    <w:rsid w:val="001C4098"/>
    <w:rsid w:val="001D00F5"/>
    <w:rsid w:val="001D4724"/>
    <w:rsid w:val="00213104"/>
    <w:rsid w:val="002142CB"/>
    <w:rsid w:val="00233FCB"/>
    <w:rsid w:val="0024385A"/>
    <w:rsid w:val="00243A93"/>
    <w:rsid w:val="00257670"/>
    <w:rsid w:val="00291B2A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AFE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61AF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0456D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3370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309D9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AF7133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57B9A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0A38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01FA7596"/>
    <w:rsid w:val="1BFFEA95"/>
    <w:rsid w:val="1FFB0207"/>
    <w:rsid w:val="23D6EFDD"/>
    <w:rsid w:val="25BBA094"/>
    <w:rsid w:val="2BD9822E"/>
    <w:rsid w:val="30EF6717"/>
    <w:rsid w:val="357FB1D5"/>
    <w:rsid w:val="3797426C"/>
    <w:rsid w:val="37FCA356"/>
    <w:rsid w:val="3EF283E2"/>
    <w:rsid w:val="3F6F43E8"/>
    <w:rsid w:val="3F792AB2"/>
    <w:rsid w:val="3FCFE8E9"/>
    <w:rsid w:val="4932E9BB"/>
    <w:rsid w:val="49FF23C4"/>
    <w:rsid w:val="4AE99772"/>
    <w:rsid w:val="4BEF0DF4"/>
    <w:rsid w:val="4CCFD7E8"/>
    <w:rsid w:val="4FF7FCE6"/>
    <w:rsid w:val="56716797"/>
    <w:rsid w:val="57DA5E2C"/>
    <w:rsid w:val="5DBF4EC5"/>
    <w:rsid w:val="5DFC0CAF"/>
    <w:rsid w:val="5EBC610B"/>
    <w:rsid w:val="5EE55DA2"/>
    <w:rsid w:val="5F355C06"/>
    <w:rsid w:val="5F3DD8FF"/>
    <w:rsid w:val="63FBB205"/>
    <w:rsid w:val="6A8901BF"/>
    <w:rsid w:val="6BFF35CB"/>
    <w:rsid w:val="6BFFA06B"/>
    <w:rsid w:val="6F376911"/>
    <w:rsid w:val="6FEF9A39"/>
    <w:rsid w:val="6FFFB4CF"/>
    <w:rsid w:val="777D6897"/>
    <w:rsid w:val="77A38C5C"/>
    <w:rsid w:val="77F746CB"/>
    <w:rsid w:val="77FED85C"/>
    <w:rsid w:val="797F4A3E"/>
    <w:rsid w:val="797FCCA9"/>
    <w:rsid w:val="7AE5BECD"/>
    <w:rsid w:val="7B3DCFED"/>
    <w:rsid w:val="7B8FC56C"/>
    <w:rsid w:val="7BDF8380"/>
    <w:rsid w:val="7CCFDFF2"/>
    <w:rsid w:val="7D7D8427"/>
    <w:rsid w:val="7DFB03AD"/>
    <w:rsid w:val="7E67897C"/>
    <w:rsid w:val="7F9B09AC"/>
    <w:rsid w:val="7FCB4F8D"/>
    <w:rsid w:val="7FEFFE07"/>
    <w:rsid w:val="7FFF0BFE"/>
    <w:rsid w:val="831D6173"/>
    <w:rsid w:val="8BEFEFD4"/>
    <w:rsid w:val="9BBDAAED"/>
    <w:rsid w:val="9DDBF2DC"/>
    <w:rsid w:val="9FFFD30B"/>
    <w:rsid w:val="ADBF1778"/>
    <w:rsid w:val="AFC5EE48"/>
    <w:rsid w:val="AFF734BF"/>
    <w:rsid w:val="B23FEBA4"/>
    <w:rsid w:val="B6B31C96"/>
    <w:rsid w:val="BDFF0B33"/>
    <w:rsid w:val="BEAF698A"/>
    <w:rsid w:val="BEBF276A"/>
    <w:rsid w:val="C5FF7FFC"/>
    <w:rsid w:val="CDFE6385"/>
    <w:rsid w:val="CEE77633"/>
    <w:rsid w:val="D5DBD153"/>
    <w:rsid w:val="D9DBB8B2"/>
    <w:rsid w:val="DB7762E4"/>
    <w:rsid w:val="DB7F8628"/>
    <w:rsid w:val="DBB32719"/>
    <w:rsid w:val="DDF7933E"/>
    <w:rsid w:val="DE6791F8"/>
    <w:rsid w:val="DEC73AE9"/>
    <w:rsid w:val="DF7D75E2"/>
    <w:rsid w:val="E6D73286"/>
    <w:rsid w:val="E7FEFCBC"/>
    <w:rsid w:val="E99FA842"/>
    <w:rsid w:val="ED5EFE02"/>
    <w:rsid w:val="ED93C36B"/>
    <w:rsid w:val="ED9B1023"/>
    <w:rsid w:val="EEFF964F"/>
    <w:rsid w:val="EF1F830C"/>
    <w:rsid w:val="EF3464E9"/>
    <w:rsid w:val="EF7F58BC"/>
    <w:rsid w:val="EFBD3F52"/>
    <w:rsid w:val="EFBF0F34"/>
    <w:rsid w:val="EFE905F5"/>
    <w:rsid w:val="EFFF7EBE"/>
    <w:rsid w:val="F3F42647"/>
    <w:rsid w:val="F3FF2F9A"/>
    <w:rsid w:val="F5DBC51A"/>
    <w:rsid w:val="F6B97CF2"/>
    <w:rsid w:val="F6EFF9AC"/>
    <w:rsid w:val="F77F24C4"/>
    <w:rsid w:val="F77F6A34"/>
    <w:rsid w:val="F8FD8FB9"/>
    <w:rsid w:val="F9D7DC36"/>
    <w:rsid w:val="FAEB68E4"/>
    <w:rsid w:val="FAEF4052"/>
    <w:rsid w:val="FB2B066E"/>
    <w:rsid w:val="FB8D1808"/>
    <w:rsid w:val="FCD792D5"/>
    <w:rsid w:val="FD37C375"/>
    <w:rsid w:val="FD772535"/>
    <w:rsid w:val="FD7C18F0"/>
    <w:rsid w:val="FDBF6C01"/>
    <w:rsid w:val="FE3A289A"/>
    <w:rsid w:val="FE750148"/>
    <w:rsid w:val="FE9EB49C"/>
    <w:rsid w:val="FEBAB26B"/>
    <w:rsid w:val="FF6924C9"/>
    <w:rsid w:val="FF7C848C"/>
    <w:rsid w:val="FFBF02BD"/>
    <w:rsid w:val="FFEBEDC7"/>
    <w:rsid w:val="FFF2C7E1"/>
    <w:rsid w:val="FFFDE2DA"/>
    <w:rsid w:val="FFFF0B43"/>
    <w:rsid w:val="FFFF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Plain Text"/>
    <w:basedOn w:val="1"/>
    <w:link w:val="10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1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Знак"/>
    <w:basedOn w:val="2"/>
    <w:link w:val="6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1">
    <w:name w:val="Ниж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2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Верхний колонтитул Знак"/>
    <w:basedOn w:val="2"/>
    <w:link w:val="7"/>
    <w:qFormat/>
    <w:uiPriority w:val="99"/>
  </w:style>
  <w:style w:type="table" w:customStyle="1" w:styleId="14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Normal"/>
    <w:link w:val="17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7">
    <w:name w:val="ConsPlusNormal Знак"/>
    <w:link w:val="16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&lt;041E&gt;&lt;0441&gt;&lt;043D&gt;&lt;043E&gt;&lt;0432&gt;&lt;043D&gt;&lt;043E&gt;&lt;0439&gt; &lt;0426&gt;&lt;0435&gt;&lt;043D&gt;&lt;0442&gt;&lt;0440&gt;"/>
    <w:basedOn w:val="1"/>
    <w:qFormat/>
    <w:uiPriority w:val="0"/>
    <w:pPr>
      <w:autoSpaceDE w:val="0"/>
      <w:autoSpaceDN w:val="0"/>
      <w:adjustRightInd w:val="0"/>
      <w:spacing w:after="0" w:line="180" w:lineRule="atLeast"/>
      <w:jc w:val="center"/>
      <w:textAlignment w:val="center"/>
    </w:pPr>
    <w:rPr>
      <w:rFonts w:ascii="Arial" w:hAnsi="Arial" w:eastAsia="Times New Roman" w:cs="Arial"/>
      <w:b/>
      <w:bCs/>
      <w:color w:val="000000"/>
      <w:sz w:val="17"/>
      <w:szCs w:val="17"/>
      <w:lang w:eastAsia="ru-RU"/>
    </w:rPr>
  </w:style>
  <w:style w:type="character" w:customStyle="1" w:styleId="20">
    <w:name w:val="&lt;041E&gt;&lt;0441&gt;&lt;043D&gt;&lt;043E&gt;&lt;0432&gt;&lt;043D&gt;&lt;043E&gt;&lt;0439&gt;1"/>
    <w:qFormat/>
    <w:uiPriority w:val="0"/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729</Words>
  <Characters>4160</Characters>
  <Lines>34</Lines>
  <Paragraphs>9</Paragraphs>
  <TotalTime>21</TotalTime>
  <ScaleCrop>false</ScaleCrop>
  <LinksUpToDate>false</LinksUpToDate>
  <CharactersWithSpaces>4880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2023-10-25T09:55:00Z</dcterms:created>
  <dc:creator>Киселев Виктор Вадимович</dc:creator>
  <cp:lastModifiedBy>merkulovaay</cp:lastModifiedBy>
  <cp:lastPrinted>2024-02-02T09:08:58Z</cp:lastPrinted>
  <dcterms:modified xsi:type="dcterms:W3CDTF">2024-02-02T10:11:00Z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