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D0" w:rsidRDefault="00B62E03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9D0" w:rsidRDefault="009939D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939D0" w:rsidRDefault="009939D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939D0" w:rsidRDefault="009939D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939D0" w:rsidRDefault="009939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939D0" w:rsidRDefault="009939D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9939D0" w:rsidRDefault="009939D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939D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939D0" w:rsidRDefault="00B62E0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9939D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39D0" w:rsidRDefault="00B62E0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939D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939D0" w:rsidRDefault="00993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государственную программу Камчатского края «Развитие физической культуры и спорта в Камчатском </w:t>
      </w:r>
      <w:r>
        <w:rPr>
          <w:rFonts w:ascii="Times New Roman" w:hAnsi="Times New Roman"/>
          <w:b/>
          <w:sz w:val="28"/>
        </w:rPr>
        <w:t>крае», утвержденную постановлением Правительства Камчатского края</w:t>
      </w:r>
    </w:p>
    <w:p w:rsidR="009939D0" w:rsidRDefault="00B62E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29.11.2013 № 552-П</w:t>
      </w:r>
    </w:p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государственную программу Камчатского края «Развитие физической культуры и спорта в Камчатском крае», утвержденную постановле</w:t>
      </w:r>
      <w:r>
        <w:rPr>
          <w:rFonts w:ascii="Times New Roman" w:hAnsi="Times New Roman"/>
          <w:sz w:val="28"/>
        </w:rPr>
        <w:t>нием Правительства Камчатского края от 29.11.2013 № 552-П, изменения согласно приложению к настоящему постановлению.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9939D0" w:rsidRDefault="009939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9939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9939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939D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939D0" w:rsidRDefault="00B62E0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939D0" w:rsidRDefault="009939D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939D0" w:rsidRDefault="00B62E0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939D0" w:rsidRDefault="009939D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939D0" w:rsidRDefault="009939D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939D0" w:rsidRDefault="00B62E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939D0" w:rsidRDefault="009939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9939D0">
      <w:pPr>
        <w:sectPr w:rsidR="009939D0">
          <w:headerReference w:type="default" r:id="rId8"/>
          <w:pgSz w:w="11906" w:h="16838"/>
          <w:pgMar w:top="1559" w:right="851" w:bottom="1134" w:left="1418" w:header="1134" w:footer="0" w:gutter="0"/>
          <w:cols w:space="720"/>
          <w:titlePg/>
        </w:sect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9050"/>
        <w:gridCol w:w="567"/>
        <w:gridCol w:w="1538"/>
        <w:gridCol w:w="486"/>
        <w:gridCol w:w="1661"/>
      </w:tblGrid>
      <w:tr w:rsidR="009939D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9D0" w:rsidRDefault="00B62E0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939D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9D0" w:rsidRDefault="00B62E0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939D0">
        <w:trPr>
          <w:trHeight w:val="3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9939D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B62E03">
            <w:pPr>
              <w:spacing w:after="60"/>
              <w:ind w:left="8079" w:hanging="80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B62E0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B62E0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9939D0" w:rsidRDefault="00B62E0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939D0" w:rsidRDefault="00B62E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</w:t>
      </w: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9939D0" w:rsidRDefault="009939D0">
      <w:pPr>
        <w:spacing w:after="0" w:line="240" w:lineRule="auto"/>
        <w:jc w:val="center"/>
        <w:rPr>
          <w:rFonts w:ascii="Times New Roman" w:hAnsi="Times New Roman"/>
          <w:color w:val="26282F"/>
          <w:sz w:val="28"/>
        </w:rPr>
      </w:pPr>
    </w:p>
    <w:p w:rsidR="009939D0" w:rsidRDefault="00B62E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В графе 7 строки 4.2. таблицы приложени</w:t>
      </w:r>
      <w:r>
        <w:rPr>
          <w:rFonts w:ascii="Times New Roman" w:hAnsi="Times New Roman"/>
          <w:color w:val="26282F"/>
          <w:sz w:val="28"/>
        </w:rPr>
        <w:t>я 1 к Программе цифру «1» заменить цифрой «2»;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Таблицу приложения 2 к Программе дополнить строками 4.6.и 4.6.1. следующего содержания:</w:t>
      </w:r>
    </w:p>
    <w:p w:rsidR="009939D0" w:rsidRDefault="00B62E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766"/>
        <w:gridCol w:w="1485"/>
        <w:gridCol w:w="783"/>
        <w:gridCol w:w="709"/>
        <w:gridCol w:w="2835"/>
        <w:gridCol w:w="2976"/>
        <w:gridCol w:w="2127"/>
      </w:tblGrid>
      <w:tr w:rsidR="009939D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4.6. </w:t>
            </w:r>
          </w:p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Финансовая поддержка муниципальных образований в Камчатском крае, направленная</w:t>
            </w:r>
            <w:r>
              <w:rPr>
                <w:rFonts w:ascii="Times New Roman" w:hAnsi="Times New Roman"/>
                <w:sz w:val="20"/>
              </w:rPr>
              <w:t xml:space="preserve"> на строительство, капитальный ремонт, модернизацию и благоустройство объектов спортивной инфраструктуры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спорта Камчатского края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Повышение уровня обеспеченности граждан спортивными сооружениями исходя из единовременной пропускной способности </w:t>
            </w:r>
          </w:p>
          <w:p w:rsidR="009939D0" w:rsidRDefault="00993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Снижение уровня обеспеченности граждан спортивными сооружениями исходя из единовременной пропускной способности </w:t>
            </w:r>
          </w:p>
          <w:p w:rsidR="009939D0" w:rsidRDefault="00993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4.1, 4.2 таблицы</w:t>
            </w:r>
            <w:r>
              <w:rPr>
                <w:rFonts w:ascii="Times New Roman" w:hAnsi="Times New Roman"/>
                <w:sz w:val="20"/>
              </w:rPr>
              <w:t xml:space="preserve"> приложения 1 к Программе</w:t>
            </w:r>
          </w:p>
        </w:tc>
      </w:tr>
      <w:tr w:rsidR="009939D0">
        <w:trPr>
          <w:trHeight w:val="196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4.6.1.</w:t>
            </w:r>
          </w:p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Плана социального развития центров экономического роста Камчатского края в части мероприятия «Спортивный зал в Козыревском сельском поселении Усть-Камчатского муниципального района Камчатского края»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спорта Камчатского края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Повышение уровня обеспеченности граждан спортивными сооружениями исходя из единовременной пропускной способности </w:t>
            </w:r>
          </w:p>
          <w:p w:rsidR="009939D0" w:rsidRDefault="00993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Снижение уровня обеспеченности граждан спортивными сооружениями исходя из единовременной пропускной способности </w:t>
            </w:r>
          </w:p>
          <w:p w:rsidR="009939D0" w:rsidRDefault="00993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9D0" w:rsidRDefault="00B62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4.1, 4.2 </w:t>
            </w:r>
            <w:r>
              <w:rPr>
                <w:rFonts w:ascii="Times New Roman" w:hAnsi="Times New Roman"/>
                <w:sz w:val="20"/>
              </w:rPr>
              <w:t>таблицы приложения 1 к Программе</w:t>
            </w:r>
          </w:p>
        </w:tc>
      </w:tr>
    </w:tbl>
    <w:p w:rsidR="009939D0" w:rsidRDefault="00B62E03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Таблицу приложения 3 к Программе дополнить строками 39 и 40 следующего содержания:</w:t>
      </w:r>
    </w:p>
    <w:p w:rsidR="009939D0" w:rsidRDefault="00B62E03">
      <w:pPr>
        <w:spacing w:after="0" w:line="240" w:lineRule="auto"/>
        <w:jc w:val="both"/>
      </w:pPr>
      <w:r>
        <w:t>«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64"/>
        <w:gridCol w:w="3442"/>
        <w:gridCol w:w="3969"/>
        <w:gridCol w:w="851"/>
        <w:gridCol w:w="992"/>
        <w:gridCol w:w="992"/>
        <w:gridCol w:w="993"/>
        <w:gridCol w:w="1133"/>
        <w:gridCol w:w="1134"/>
        <w:gridCol w:w="1134"/>
      </w:tblGrid>
      <w:tr w:rsidR="009939D0">
        <w:trPr>
          <w:trHeight w:val="439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bookmarkStart w:id="3" w:name="_Hlk143286019"/>
            <w:bookmarkStart w:id="4" w:name="_Hlk143286043"/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B62E03">
            <w:pPr>
              <w:widowControl w:val="0"/>
              <w:spacing w:after="0" w:line="276" w:lineRule="auto"/>
              <w:ind w:left="32" w:right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4.6. Финансовая поддержка муниципальных образований в Камчатском крае, направленная</w:t>
            </w:r>
            <w:r>
              <w:rPr>
                <w:rFonts w:ascii="Times New Roman" w:hAnsi="Times New Roman"/>
                <w:sz w:val="20"/>
              </w:rPr>
              <w:t xml:space="preserve"> на строительство, капитальный ремонт, модернизацию и благоустройство объектов спортивной инфраструктуры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>34 049,90000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315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 xml:space="preserve">34 </w:t>
            </w:r>
            <w:r>
              <w:rPr>
                <w:rFonts w:ascii="Times New Roman" w:hAnsi="Times New Roman"/>
                <w:sz w:val="17"/>
              </w:rPr>
              <w:t>049,90000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35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>
            <w:pPr>
              <w:widowControl w:val="0"/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367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429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507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42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B62E03">
            <w:pPr>
              <w:widowControl w:val="0"/>
              <w:spacing w:after="0" w:line="276" w:lineRule="auto"/>
              <w:ind w:left="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4.6.1.</w:t>
            </w:r>
          </w:p>
          <w:p w:rsidR="009939D0" w:rsidRDefault="00B62E03">
            <w:pPr>
              <w:spacing w:after="0" w:line="240" w:lineRule="auto"/>
              <w:ind w:left="32" w:right="1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Плана социального развития центров экономического роста Камчатского края в части мероприятия </w:t>
            </w:r>
            <w:r>
              <w:rPr>
                <w:rFonts w:ascii="Times New Roman" w:hAnsi="Times New Roman"/>
                <w:sz w:val="20"/>
              </w:rPr>
              <w:t>«Спортивный зал в Козыревском сельском поселении Усть-Камчатского муниципального района Камчатского края»</w:t>
            </w:r>
          </w:p>
          <w:p w:rsidR="009939D0" w:rsidRDefault="009939D0">
            <w:pPr>
              <w:widowControl w:val="0"/>
              <w:spacing w:after="0" w:line="276" w:lineRule="auto"/>
              <w:ind w:right="14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>34 049,90000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  <w:bookmarkEnd w:id="3"/>
          </w:p>
        </w:tc>
      </w:tr>
      <w:tr w:rsidR="009939D0">
        <w:trPr>
          <w:trHeight w:val="419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 xml:space="preserve">34 </w:t>
            </w:r>
            <w:r>
              <w:rPr>
                <w:rFonts w:ascii="Times New Roman" w:hAnsi="Times New Roman"/>
                <w:sz w:val="17"/>
              </w:rPr>
              <w:t>049,90000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453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>
            <w:pPr>
              <w:widowControl w:val="0"/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419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426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9939D0">
        <w:trPr>
          <w:trHeight w:val="373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939D0" w:rsidRDefault="009939D0"/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ind w:left="28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9939D0"/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939D0" w:rsidRDefault="00B62E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bookmarkEnd w:id="4"/>
    <w:p w:rsidR="009939D0" w:rsidRDefault="00B62E03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9939D0" w:rsidRDefault="009939D0">
      <w:pPr>
        <w:sectPr w:rsidR="009939D0">
          <w:headerReference w:type="default" r:id="rId9"/>
          <w:pgSz w:w="16838" w:h="11906" w:orient="landscape"/>
          <w:pgMar w:top="1134" w:right="567" w:bottom="1134" w:left="567" w:header="1134" w:footer="0" w:gutter="0"/>
          <w:cols w:space="720"/>
        </w:sectPr>
      </w:pP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Дополнить Приложением 7 к Программе в следующей редакции:</w:t>
      </w:r>
    </w:p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7 </w:t>
      </w:r>
    </w:p>
    <w:p w:rsidR="009939D0" w:rsidRDefault="00B62E0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Программе</w:t>
      </w:r>
    </w:p>
    <w:p w:rsidR="009939D0" w:rsidRDefault="009939D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9939D0" w:rsidRDefault="00B62E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 распределения иных межбюджетных трансфертов местным бюджетам из краевого бюджета на реализацию отдельных мероприятий Подпрограммы 4 «Развитие инфраструктуры для занятий физической культурой и спортом» в части выполнения мероприятий плана с</w:t>
      </w:r>
      <w:r>
        <w:rPr>
          <w:rFonts w:ascii="Times New Roman" w:hAnsi="Times New Roman"/>
          <w:sz w:val="28"/>
        </w:rPr>
        <w:t>оциального развития центров экономического роста Камчатского края</w:t>
      </w:r>
    </w:p>
    <w:p w:rsidR="009939D0" w:rsidRDefault="00993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</w:t>
      </w:r>
      <w:hyperlink r:id="rId10" w:history="1">
        <w:r>
          <w:rPr>
            <w:rFonts w:ascii="Times New Roman" w:hAnsi="Times New Roman"/>
            <w:sz w:val="28"/>
          </w:rPr>
          <w:t>статьей 139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 Бюджетного кодекса Российской Федерации и регулирует </w:t>
      </w:r>
      <w:r>
        <w:rPr>
          <w:rFonts w:ascii="Times New Roman" w:hAnsi="Times New Roman"/>
          <w:sz w:val="28"/>
        </w:rPr>
        <w:t>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 подпрограммы 4 «Развитие инфраструктуры для занятий физической культур</w:t>
      </w:r>
      <w:r>
        <w:rPr>
          <w:rFonts w:ascii="Times New Roman" w:hAnsi="Times New Roman"/>
          <w:sz w:val="28"/>
        </w:rPr>
        <w:t xml:space="preserve">ой и спортом» </w:t>
      </w:r>
      <w:hyperlink r:id="rId11" w:history="1">
        <w:r>
          <w:rPr>
            <w:rFonts w:ascii="Times New Roman" w:hAnsi="Times New Roman"/>
            <w:sz w:val="28"/>
          </w:rPr>
          <w:t>государственной программы</w:t>
        </w:r>
      </w:hyperlink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утвержденной постановлением Правительства Камчатского края от 29.11</w:t>
      </w:r>
      <w:r>
        <w:rPr>
          <w:rFonts w:ascii="Times New Roman" w:hAnsi="Times New Roman"/>
          <w:sz w:val="28"/>
        </w:rPr>
        <w:t xml:space="preserve">.2013 № 552-П, в части выполнения мероприятий </w:t>
      </w:r>
      <w:hyperlink r:id="rId12" w:history="1">
        <w:r>
          <w:rPr>
            <w:rFonts w:ascii="Times New Roman" w:hAnsi="Times New Roman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 xml:space="preserve"> социального развития центров экономического роста Камчатского края, утвержденного </w:t>
      </w:r>
      <w:hyperlink r:id="rId13" w:history="1">
        <w:r>
          <w:rPr>
            <w:rFonts w:ascii="Times New Roman" w:hAnsi="Times New Roman"/>
            <w:sz w:val="28"/>
          </w:rPr>
          <w:t>распоряжением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25.06.2018 № 270-РП (далее соответственно – иные межбюджетные трансферты, План).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межбюджетные трансферты предоставляются в целях софинансирования, в том числе в полном объеме, расхо</w:t>
      </w:r>
      <w:r>
        <w:rPr>
          <w:rFonts w:ascii="Times New Roman" w:hAnsi="Times New Roman"/>
          <w:sz w:val="28"/>
        </w:rPr>
        <w:t>дных обязательств муниципальных образований в Камчатском крае, возникающих в связи с реализацией основного м</w:t>
      </w:r>
      <w:r>
        <w:rPr>
          <w:rFonts w:ascii="Times New Roman" w:hAnsi="Times New Roman"/>
          <w:sz w:val="28"/>
        </w:rPr>
        <w:t xml:space="preserve">ероприятия 4.6 «Финансовая поддержка муниципальных образований в Камчатском крае, направленная на строительство, капитальный ремонт, модернизацию и </w:t>
      </w:r>
      <w:r>
        <w:rPr>
          <w:rFonts w:ascii="Times New Roman" w:hAnsi="Times New Roman"/>
          <w:sz w:val="28"/>
        </w:rPr>
        <w:t xml:space="preserve">благоустройство объектов спортивной инфраструктуры» </w:t>
      </w:r>
      <w:hyperlink r:id="rId14" w:history="1">
        <w:r>
          <w:rPr>
            <w:rFonts w:ascii="Times New Roman" w:hAnsi="Times New Roman"/>
            <w:sz w:val="28"/>
          </w:rPr>
          <w:t>подпрограммы 4</w:t>
        </w:r>
      </w:hyperlink>
      <w:r>
        <w:rPr>
          <w:rFonts w:ascii="Times New Roman" w:hAnsi="Times New Roman"/>
          <w:sz w:val="28"/>
        </w:rPr>
        <w:t xml:space="preserve"> «Развитие инфраструктуры для занятий физической культурой и спортом» в части выполнения мероприятий </w:t>
      </w:r>
      <w:hyperlink r:id="rId15" w:history="1">
        <w:r>
          <w:rPr>
            <w:rFonts w:ascii="Times New Roman" w:hAnsi="Times New Roman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>, направленных на создание объекта «Спортивный зал в Козыревском сельском поселении Усть-Камчатского муниципального района Камчатского края».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Иные межбюджетные трансферты предоставляются за сч</w:t>
      </w:r>
      <w:r>
        <w:rPr>
          <w:rFonts w:ascii="Times New Roman" w:hAnsi="Times New Roman"/>
          <w:sz w:val="28"/>
        </w:rPr>
        <w:t>ет средств иных межбюджетных трансфертов из федерального бюджета, предоставленных Камчатскому краю на реализацию меропр</w:t>
      </w:r>
      <w:r>
        <w:rPr>
          <w:rFonts w:ascii="Times New Roman" w:hAnsi="Times New Roman"/>
          <w:sz w:val="28"/>
        </w:rPr>
        <w:t>иятий планов социального развития центров экономического роста субъектов Российской Федерации, входящих в состав Дальневосточного федерал</w:t>
      </w:r>
      <w:r>
        <w:rPr>
          <w:rFonts w:ascii="Times New Roman" w:hAnsi="Times New Roman"/>
          <w:sz w:val="28"/>
        </w:rPr>
        <w:t xml:space="preserve">ьного округа, в соответствии с </w:t>
      </w:r>
      <w:hyperlink r:id="rId16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14.03.2018 № 254 «Об утверждении Правил предоставления и распределения иных межбюджетных трансфертов на</w:t>
      </w:r>
      <w:r>
        <w:rPr>
          <w:rFonts w:ascii="Times New Roman" w:hAnsi="Times New Roman"/>
          <w:sz w:val="28"/>
        </w:rPr>
        <w:t xml:space="preserve"> реализацию мероприятий планов социального развития центров экономического </w:t>
      </w:r>
      <w:r>
        <w:rPr>
          <w:rFonts w:ascii="Times New Roman" w:hAnsi="Times New Roman"/>
          <w:sz w:val="28"/>
        </w:rPr>
        <w:lastRenderedPageBreak/>
        <w:t>роста субъектов Российской Федерации, входящих в состав Дальневосточного федерального округа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и Арктической зоны Российской Федерации».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Критерием отбора муниципальных образований </w:t>
      </w:r>
      <w:r>
        <w:rPr>
          <w:rFonts w:ascii="Times New Roman" w:hAnsi="Times New Roman"/>
          <w:sz w:val="28"/>
        </w:rPr>
        <w:t>в Камчатском крае для предоставления иного межбюджетного трансферта является соответствие муниципальных образований в Камчатском крае следующим требованиям: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расположение муниципального образования в Камчатском крае на территории центров экономического р</w:t>
      </w:r>
      <w:r>
        <w:rPr>
          <w:rFonts w:ascii="Times New Roman" w:hAnsi="Times New Roman"/>
          <w:sz w:val="28"/>
        </w:rPr>
        <w:t>оста Камчатского края;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наличие муниципального образования в утвержденном перечне мероприятий Плана. 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предоставления иных межбюджетных трансфертов являются: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у муниципального образования в Камчатском крае утвержденной муниципальной программы, содержащей мероприятия </w:t>
      </w:r>
      <w:hyperlink r:id="rId17" w:history="1">
        <w:r>
          <w:rPr>
            <w:rFonts w:ascii="Times New Roman" w:hAnsi="Times New Roman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 xml:space="preserve"> либо обязательства муниципального образования в Камчатском </w:t>
      </w:r>
      <w:r>
        <w:rPr>
          <w:rFonts w:ascii="Times New Roman" w:hAnsi="Times New Roman"/>
          <w:sz w:val="28"/>
        </w:rPr>
        <w:t>крае о внесении соответствующих изменений в текущем финансовом году в действующую муниципальную программу в форме гарантийного письма, подписанного главой муниципального образования;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заключение соглашения </w:t>
      </w:r>
      <w:r>
        <w:rPr>
          <w:rFonts w:ascii="Times New Roman" w:hAnsi="Times New Roman"/>
          <w:sz w:val="28"/>
        </w:rPr>
        <w:t>о предоставлении иного межбюджетного трансферта,</w:t>
      </w:r>
      <w:r>
        <w:rPr>
          <w:rFonts w:ascii="Times New Roman" w:hAnsi="Times New Roman"/>
          <w:sz w:val="28"/>
        </w:rPr>
        <w:t xml:space="preserve"> имеющего целевое назначение, из бюджета субъекта Российской Федерации местному бюджету, заключенного между Министерством спорта Камчатского края и органом местного самоуправления муниципального образования в Камчатском крае в форме электронного документа </w:t>
      </w:r>
      <w:r>
        <w:rPr>
          <w:rFonts w:ascii="Times New Roman" w:hAnsi="Times New Roman"/>
          <w:sz w:val="28"/>
        </w:rPr>
        <w:t>посредством государственной интегрированной информационной системы управления общественными финансами «Электронный бюджет» (далее – Соглашение).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Иные межбюджетные трансферты предоставляются муниципальным образованиям в Камчатском крае в пределах лимитов</w:t>
      </w:r>
      <w:r>
        <w:rPr>
          <w:rFonts w:ascii="Times New Roman" w:hAnsi="Times New Roman"/>
          <w:sz w:val="28"/>
        </w:rPr>
        <w:t xml:space="preserve"> бюджетных обязательств, доведенных до Министерства спорта Камчатского края (далее – Минспорт) на цели, указанные в </w:t>
      </w:r>
      <w:hyperlink r:id="rId18" w:history="1">
        <w:r>
          <w:rPr>
            <w:rFonts w:ascii="Times New Roman" w:hAnsi="Times New Roman"/>
            <w:sz w:val="28"/>
          </w:rPr>
          <w:t>части 2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При использовании иного межбюджет</w:t>
      </w:r>
      <w:r>
        <w:rPr>
          <w:rFonts w:ascii="Times New Roman" w:hAnsi="Times New Roman"/>
          <w:sz w:val="28"/>
        </w:rPr>
        <w:t xml:space="preserve">ного трансферта возникает обязательство органов местного самоуправления муниципальных образований в Камчатском крае по обеспечению информационного освещения проекта по реализации </w:t>
      </w:r>
      <w:r>
        <w:rPr>
          <w:rFonts w:ascii="Times New Roman" w:hAnsi="Times New Roman"/>
          <w:sz w:val="28"/>
        </w:rPr>
        <w:t>мероприятий Плана, в части строительства, модернизации и благоустройства объе</w:t>
      </w:r>
      <w:r>
        <w:rPr>
          <w:rFonts w:ascii="Times New Roman" w:hAnsi="Times New Roman"/>
          <w:sz w:val="28"/>
        </w:rPr>
        <w:t>ктов спортивной инфраструктуры на официальных сайтах муниципального образования в Камчатском крае и исполнительных органов Камчатского края в информационно-телекоммуникационной сети Интернет.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Распределение иных межбюджетных трансфертов, предоставляемых </w:t>
      </w:r>
      <w:r>
        <w:rPr>
          <w:rFonts w:ascii="Times New Roman" w:hAnsi="Times New Roman"/>
          <w:sz w:val="28"/>
        </w:rPr>
        <w:t xml:space="preserve">из краевого бюджета местным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устанавливается (без расчета) </w:t>
      </w:r>
      <w:hyperlink r:id="rId19" w:history="1">
        <w:r>
          <w:rPr>
            <w:rFonts w:ascii="Times New Roman" w:hAnsi="Times New Roman"/>
            <w:sz w:val="28"/>
          </w:rPr>
          <w:t>Планом</w:t>
        </w:r>
      </w:hyperlink>
      <w:r>
        <w:rPr>
          <w:rFonts w:ascii="Times New Roman" w:hAnsi="Times New Roman"/>
          <w:sz w:val="28"/>
        </w:rPr>
        <w:t xml:space="preserve">, а также утверждается </w:t>
      </w:r>
      <w:hyperlink r:id="rId20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Камчатского края о краевом бюджете на соответствующий финансовый год и на плановый период.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Пе</w:t>
      </w:r>
      <w:r>
        <w:rPr>
          <w:rFonts w:ascii="Times New Roman" w:hAnsi="Times New Roman"/>
          <w:sz w:val="28"/>
        </w:rPr>
        <w:t xml:space="preserve">речисление иных межбюджетных трансфертов осуществляется на счета, открытые в Управлении Федерального казначейства по Камчатскому краю </w:t>
      </w:r>
      <w:r>
        <w:rPr>
          <w:rFonts w:ascii="Times New Roman" w:hAnsi="Times New Roman"/>
          <w:sz w:val="28"/>
        </w:rPr>
        <w:lastRenderedPageBreak/>
        <w:t>для учета операций со средствами бюджетов муниципальных образований в Камчатском</w:t>
      </w:r>
      <w:r>
        <w:rPr>
          <w:rFonts w:ascii="Times New Roman" w:hAnsi="Times New Roman"/>
          <w:sz w:val="28"/>
        </w:rPr>
        <w:t xml:space="preserve"> крае.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Результатом предоставления иных</w:t>
      </w:r>
      <w:r>
        <w:rPr>
          <w:rFonts w:ascii="Times New Roman" w:hAnsi="Times New Roman"/>
          <w:sz w:val="28"/>
        </w:rPr>
        <w:t xml:space="preserve"> межбюджетных трансфертов является количество созданных (реконструированных, модернизированных) объектов спортивной инфраструктуры в отчетном финансовом году.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Средства иных межбюджетных трансфертов не могут быть использованы органами местного самоуправ</w:t>
      </w:r>
      <w:r>
        <w:rPr>
          <w:rFonts w:ascii="Times New Roman" w:hAnsi="Times New Roman"/>
          <w:sz w:val="28"/>
        </w:rPr>
        <w:t>ления муниципальных образований в Камчатском крае на цели, не предусмотренные настоящим Порядком.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Отчеты о расходовании средств иных межбюджетных трансфертов представляются органами местного самоу</w:t>
      </w:r>
      <w:r>
        <w:rPr>
          <w:rFonts w:ascii="Times New Roman" w:hAnsi="Times New Roman"/>
          <w:sz w:val="28"/>
        </w:rPr>
        <w:t>правления муниципальных образований в Камчатском крае по</w:t>
      </w:r>
      <w:r>
        <w:rPr>
          <w:rFonts w:ascii="Times New Roman" w:hAnsi="Times New Roman"/>
          <w:sz w:val="28"/>
        </w:rPr>
        <w:t xml:space="preserve"> форме и в сроки, установленные Соглашением.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возврату в краевой бюджет в течение 30 календарных </w:t>
      </w:r>
      <w:r>
        <w:rPr>
          <w:rFonts w:ascii="Times New Roman" w:hAnsi="Times New Roman"/>
          <w:sz w:val="28"/>
        </w:rPr>
        <w:t>дней со дня получения уведомления от Минспорта.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Минспорт направляет указанное уведомление в муниципальное образование в Камчатском крае в течение 30 календарных дней со дня </w:t>
      </w:r>
      <w:r>
        <w:rPr>
          <w:rFonts w:ascii="Times New Roman" w:hAnsi="Times New Roman"/>
          <w:sz w:val="28"/>
        </w:rPr>
        <w:t xml:space="preserve">установления факта нецелевого использования иного межбюджетного трансферта заказным почтовым отправлением с уведомлением о вручении и (или) посредством электронного документа, подписанного усиленной квалифицированной </w:t>
      </w:r>
      <w:hyperlink r:id="rId21" w:history="1">
        <w:r>
          <w:rPr>
            <w:rStyle w:val="a8"/>
            <w:rFonts w:ascii="Times New Roman" w:hAnsi="Times New Roman"/>
            <w:color w:val="000000"/>
            <w:sz w:val="28"/>
          </w:rPr>
          <w:t>электронной подписью</w:t>
        </w:r>
      </w:hyperlink>
      <w:r>
        <w:rPr>
          <w:rFonts w:ascii="Times New Roman" w:hAnsi="Times New Roman"/>
          <w:sz w:val="28"/>
        </w:rPr>
        <w:t xml:space="preserve"> лица, имеющего право действовать от имени Минспорта, или иным доступным способом.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средства иного межбюджетного трансферта </w:t>
      </w:r>
      <w:r>
        <w:rPr>
          <w:rFonts w:ascii="Times New Roman" w:hAnsi="Times New Roman"/>
          <w:sz w:val="28"/>
        </w:rPr>
        <w:t xml:space="preserve">не возвращены в срок, установленный </w:t>
      </w:r>
      <w:hyperlink r:id="rId22" w:history="1">
        <w:r>
          <w:rPr>
            <w:rFonts w:ascii="Times New Roman" w:hAnsi="Times New Roman"/>
            <w:sz w:val="28"/>
          </w:rPr>
          <w:t>абзацем первым</w:t>
        </w:r>
      </w:hyperlink>
      <w:r>
        <w:rPr>
          <w:rFonts w:ascii="Times New Roman" w:hAnsi="Times New Roman"/>
          <w:sz w:val="28"/>
        </w:rPr>
        <w:t xml:space="preserve"> настоящей части, Минспорт, предоставивший иной межбюджетный трансферт, обращается в Министерство финансов Камчатского края для применения мер бюджетного принуждения в соответствии с </w:t>
      </w:r>
      <w:hyperlink r:id="rId23" w:history="1">
        <w:r>
          <w:rPr>
            <w:rFonts w:ascii="Times New Roman" w:hAnsi="Times New Roman"/>
            <w:sz w:val="28"/>
          </w:rPr>
          <w:t>бюджетным законодательством</w:t>
        </w:r>
      </w:hyperlink>
      <w:r>
        <w:rPr>
          <w:rFonts w:ascii="Times New Roman" w:hAnsi="Times New Roman"/>
          <w:sz w:val="28"/>
        </w:rPr>
        <w:t xml:space="preserve"> Российской Федерации.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Не использованные по состоянию на 1 января текущего финансового года иные межбюджетные трансферты подлежат возврату в доход краевого бюджета в соот</w:t>
      </w:r>
      <w:r>
        <w:rPr>
          <w:rFonts w:ascii="Times New Roman" w:hAnsi="Times New Roman"/>
          <w:sz w:val="28"/>
        </w:rPr>
        <w:t xml:space="preserve">ветствии со </w:t>
      </w:r>
      <w:hyperlink r:id="rId24" w:history="1">
        <w:r>
          <w:rPr>
            <w:rFonts w:ascii="Times New Roman" w:hAnsi="Times New Roman"/>
            <w:sz w:val="28"/>
          </w:rPr>
          <w:t>статьей 242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Оценка эффективности предоставления иного межбюджетного трансферта осуществляется Минспорт, предоставившим иной межб</w:t>
      </w:r>
      <w:r>
        <w:rPr>
          <w:rFonts w:ascii="Times New Roman" w:hAnsi="Times New Roman"/>
          <w:sz w:val="28"/>
        </w:rPr>
        <w:t>юджетный трансферт, путем сравнения фактически достигнутого в отчетном году и установленного Соглашением значения результата предоставления иного межбюджетного трансферта.</w:t>
      </w:r>
    </w:p>
    <w:p w:rsidR="009939D0" w:rsidRDefault="00B62E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Контроль за соблюдением муниципальными образованиями в Камчатском крае целей, ус</w:t>
      </w:r>
      <w:r>
        <w:rPr>
          <w:rFonts w:ascii="Times New Roman" w:hAnsi="Times New Roman"/>
          <w:sz w:val="28"/>
        </w:rPr>
        <w:t>ловий и порядка предоставления и расходования иных межбюджетных трансфертов из краевого бюджета, а также за соблюдением условий Соглашений осуществляется Минспортом, предоставившим иные межбюджетные трансферты, и органами государственного финансового контр</w:t>
      </w:r>
      <w:r>
        <w:rPr>
          <w:rFonts w:ascii="Times New Roman" w:hAnsi="Times New Roman"/>
          <w:sz w:val="28"/>
        </w:rPr>
        <w:t>оля.».</w:t>
      </w:r>
    </w:p>
    <w:sectPr w:rsidR="009939D0">
      <w:headerReference w:type="default" r:id="rId25"/>
      <w:pgSz w:w="11906" w:h="16838"/>
      <w:pgMar w:top="1134" w:right="850" w:bottom="1134" w:left="1417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03" w:rsidRDefault="00B62E03">
      <w:pPr>
        <w:spacing w:after="0" w:line="240" w:lineRule="auto"/>
      </w:pPr>
      <w:r>
        <w:separator/>
      </w:r>
    </w:p>
  </w:endnote>
  <w:endnote w:type="continuationSeparator" w:id="0">
    <w:p w:rsidR="00B62E03" w:rsidRDefault="00B6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03" w:rsidRDefault="00B62E03">
      <w:pPr>
        <w:spacing w:after="0" w:line="240" w:lineRule="auto"/>
      </w:pPr>
      <w:r>
        <w:separator/>
      </w:r>
    </w:p>
  </w:footnote>
  <w:footnote w:type="continuationSeparator" w:id="0">
    <w:p w:rsidR="00B62E03" w:rsidRDefault="00B6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D0" w:rsidRDefault="00B62E0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9939D0" w:rsidRDefault="009939D0">
    <w:pPr>
      <w:pStyle w:val="ac"/>
      <w:jc w:val="center"/>
      <w:rPr>
        <w:rFonts w:ascii="Times New Roman" w:hAnsi="Times New Roman"/>
        <w:sz w:val="28"/>
      </w:rPr>
    </w:pPr>
  </w:p>
  <w:p w:rsidR="009939D0" w:rsidRDefault="009939D0">
    <w:pPr>
      <w:pStyle w:val="ac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D0" w:rsidRDefault="00B62E0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F3FDA">
      <w:fldChar w:fldCharType="separate"/>
    </w:r>
    <w:r w:rsidR="00EF3FDA">
      <w:rPr>
        <w:noProof/>
      </w:rPr>
      <w:t>2</w:t>
    </w:r>
    <w:r>
      <w:fldChar w:fldCharType="end"/>
    </w:r>
  </w:p>
  <w:p w:rsidR="009939D0" w:rsidRDefault="009939D0">
    <w:pPr>
      <w:pStyle w:val="ac"/>
      <w:jc w:val="center"/>
    </w:pPr>
  </w:p>
  <w:p w:rsidR="009939D0" w:rsidRDefault="009939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D0" w:rsidRDefault="00B62E03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 w:rsidR="00EF3FDA">
      <w:rPr>
        <w:rFonts w:ascii="Times New Roman" w:hAnsi="Times New Roman"/>
        <w:sz w:val="28"/>
      </w:rPr>
      <w:fldChar w:fldCharType="separate"/>
    </w:r>
    <w:r w:rsidR="00EF3FDA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  <w:p w:rsidR="009939D0" w:rsidRDefault="009939D0">
    <w:pPr>
      <w:pStyle w:val="ac"/>
      <w:jc w:val="center"/>
      <w:rPr>
        <w:rFonts w:ascii="Times New Roman" w:hAnsi="Times New Roman"/>
        <w:sz w:val="28"/>
      </w:rPr>
    </w:pPr>
  </w:p>
  <w:p w:rsidR="009939D0" w:rsidRDefault="009939D0">
    <w:pPr>
      <w:pStyle w:val="ac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5666"/>
    <w:multiLevelType w:val="multilevel"/>
    <w:tmpl w:val="7C8A5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0"/>
    <w:rsid w:val="009939D0"/>
    <w:rsid w:val="00B62E03"/>
    <w:rsid w:val="00E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513BF-31EC-4DB8-8C84-B0E28032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a7">
    <w:name w:val="Гипертекстовая ссылка"/>
    <w:basedOn w:val="16"/>
    <w:link w:val="a8"/>
    <w:rPr>
      <w:color w:val="106BBE"/>
    </w:rPr>
  </w:style>
  <w:style w:type="character" w:customStyle="1" w:styleId="a8">
    <w:name w:val="Гипертекстовая ссылка"/>
    <w:basedOn w:val="17"/>
    <w:link w:val="a7"/>
    <w:rPr>
      <w:color w:val="106BBE"/>
    </w:rPr>
  </w:style>
  <w:style w:type="paragraph" w:customStyle="1" w:styleId="bx-messenger-message">
    <w:name w:val="bx-messenger-message"/>
    <w:basedOn w:val="16"/>
    <w:link w:val="bx-messenger-message0"/>
  </w:style>
  <w:style w:type="character" w:customStyle="1" w:styleId="bx-messenger-message0">
    <w:name w:val="bx-messenger-message"/>
    <w:basedOn w:val="17"/>
    <w:link w:val="bx-messenger-messag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bx-messenger-content-item-date">
    <w:name w:val="bx-messenger-content-item-date"/>
    <w:basedOn w:val="16"/>
    <w:link w:val="bx-messenger-content-item-date0"/>
  </w:style>
  <w:style w:type="character" w:customStyle="1" w:styleId="bx-messenger-content-item-date0">
    <w:name w:val="bx-messenger-content-item-date"/>
    <w:basedOn w:val="17"/>
    <w:link w:val="bx-messenger-content-item-date"/>
  </w:style>
  <w:style w:type="paragraph" w:customStyle="1" w:styleId="a9">
    <w:name w:val="Нормальный (таблица)"/>
    <w:basedOn w:val="a"/>
    <w:next w:val="a"/>
    <w:link w:val="aa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a">
    <w:name w:val="Нормальный (таблица)"/>
    <w:basedOn w:val="1"/>
    <w:link w:val="a9"/>
    <w:rPr>
      <w:rFonts w:ascii="Times New Roman CYR" w:hAnsi="Times New Roman CYR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link w:val="ab"/>
    <w:rPr>
      <w:color w:val="0000FF"/>
      <w:u w:val="single"/>
    </w:rPr>
  </w:style>
  <w:style w:type="character" w:styleId="ab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Гиперссылка1"/>
    <w:basedOn w:val="18"/>
    <w:link w:val="1e"/>
    <w:rPr>
      <w:color w:val="0563C1" w:themeColor="hyperlink"/>
      <w:u w:val="single"/>
    </w:rPr>
  </w:style>
  <w:style w:type="character" w:customStyle="1" w:styleId="1e">
    <w:name w:val="Гиперссылка1"/>
    <w:basedOn w:val="19"/>
    <w:link w:val="1d"/>
    <w:rPr>
      <w:color w:val="0563C1" w:themeColor="hyperlink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1">
    <w:name w:val="Прижатый влево"/>
    <w:basedOn w:val="1"/>
    <w:link w:val="af0"/>
    <w:rPr>
      <w:rFonts w:ascii="Times New Roman CYR" w:hAnsi="Times New Roman CYR"/>
      <w:color w:val="000000"/>
      <w:sz w:val="24"/>
    </w:rPr>
  </w:style>
  <w:style w:type="paragraph" w:customStyle="1" w:styleId="35">
    <w:name w:val="Основной шрифт абзаца3"/>
    <w:link w:val="af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bx-messenger-content-item-like">
    <w:name w:val="bx-messenger-content-item-like"/>
    <w:basedOn w:val="16"/>
    <w:link w:val="bx-messenger-content-item-like0"/>
  </w:style>
  <w:style w:type="character" w:customStyle="1" w:styleId="bx-messenger-content-item-like0">
    <w:name w:val="bx-messenger-content-item-like"/>
    <w:basedOn w:val="17"/>
    <w:link w:val="bx-messenger-content-item-like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x-messenger-content-like-button">
    <w:name w:val="bx-messenger-content-like-button"/>
    <w:basedOn w:val="16"/>
    <w:link w:val="bx-messenger-content-like-button0"/>
  </w:style>
  <w:style w:type="character" w:customStyle="1" w:styleId="bx-messenger-content-like-button0">
    <w:name w:val="bx-messenger-content-like-button"/>
    <w:basedOn w:val="17"/>
    <w:link w:val="bx-messenger-content-like-button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#/document/45576986/entry/0" TargetMode="External"/><Relationship Id="rId18" Type="http://schemas.openxmlformats.org/officeDocument/2006/relationships/hyperlink" Target="https://internet.garant.ru/#/document/25907396/entry/1021030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#/document/45576986/entry/1000" TargetMode="External"/><Relationship Id="rId17" Type="http://schemas.openxmlformats.org/officeDocument/2006/relationships/hyperlink" Target="https://internet.garant.ru/#/document/45576986/entry/1000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internet.garant.ru/#/document/71902178/entry/0" TargetMode="External"/><Relationship Id="rId20" Type="http://schemas.openxmlformats.org/officeDocument/2006/relationships/hyperlink" Target="https://internet.garant.ru/#/document/405833231/entry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#/document/25907396/entry/10000" TargetMode="External"/><Relationship Id="rId24" Type="http://schemas.openxmlformats.org/officeDocument/2006/relationships/hyperlink" Target="https://internet.garant.ru/#/document/12112604/entry/2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#/document/45576986/entry/1000" TargetMode="External"/><Relationship Id="rId23" Type="http://schemas.openxmlformats.org/officeDocument/2006/relationships/hyperlink" Target="https://internet.garant.ru/#/document/12112604/entry/4" TargetMode="External"/><Relationship Id="rId10" Type="http://schemas.openxmlformats.org/officeDocument/2006/relationships/hyperlink" Target="https://internet.garant.ru/#/document/12112604/entry/13901" TargetMode="External"/><Relationship Id="rId19" Type="http://schemas.openxmlformats.org/officeDocument/2006/relationships/hyperlink" Target="https://internet.garant.ru/#/document/45576986/entry/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#/document/25907396/entry/10100" TargetMode="External"/><Relationship Id="rId22" Type="http://schemas.openxmlformats.org/officeDocument/2006/relationships/hyperlink" Target="https://internet.garant.ru/#/document/25907396/entry/102103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2023-08-21T01:26:00Z</dcterms:created>
  <dcterms:modified xsi:type="dcterms:W3CDTF">2023-08-21T01:26:00Z</dcterms:modified>
</cp:coreProperties>
</file>