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124" y="0"/>
                <wp:lineTo x="-124" y="20788"/>
                <wp:lineTo x="20845" y="20788"/>
                <wp:lineTo x="20845" y="0"/>
                <wp:lineTo x="-12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45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2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44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О внесении изменений в приложение к постановлению Губернатора Камчатского края от 06.10.2023 № 103 «Об утверждении Положения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об организации и ведении гражданской обороны в Камчатском крае»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Губернатора Камчатского края от 06.10.2022 № 103 «Об утверждении Положения об организации и ведении гражданской обороны в Камчатском крае» изменения согласно приложениям </w:t>
        <w:br/>
        <w:t>1 и 2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845"/>
        <w:tblW w:w="7794" w:type="dxa"/>
        <w:jc w:val="left"/>
        <w:tblInd w:w="18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825"/>
        <w:gridCol w:w="2968"/>
      </w:tblGrid>
      <w:tr>
        <w:trPr>
          <w:trHeight w:val="1737" w:hRule="atLeast"/>
        </w:trPr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16" w:hanging="0"/>
              <w:jc w:val="left"/>
              <w:rPr>
                <w:rFonts w:ascii="Times New Roman" w:hAnsi="Times New Roman"/>
                <w:color w:val="FFFFFF"/>
                <w:sz w:val="28"/>
              </w:rPr>
            </w:pPr>
            <w:bookmarkStart w:id="3" w:name="SIGNERSTAMP1"/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[горизонтальный штамп подписи 1]</w:t>
            </w:r>
            <w:bookmarkEnd w:id="3"/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29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В.В. Солодов</w:t>
            </w:r>
          </w:p>
        </w:tc>
      </w:tr>
    </w:tbl>
    <w:p>
      <w:pPr>
        <w:pStyle w:val="Normal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br w:type="page"/>
      </w:r>
    </w:p>
    <w:tbl>
      <w:tblPr>
        <w:tblStyle w:val="844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77"/>
        <w:gridCol w:w="484"/>
        <w:gridCol w:w="3669"/>
        <w:gridCol w:w="479"/>
        <w:gridCol w:w="1871"/>
        <w:gridCol w:w="488"/>
        <w:gridCol w:w="1690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4" w:name="_GoBack_Copy_1"/>
            <w:bookmarkEnd w:id="4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1к постановлению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Губернатора Камчатского края</w:t>
            </w:r>
          </w:p>
        </w:tc>
      </w:tr>
      <w:tr>
        <w:trPr>
          <w:trHeight w:val="329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06.10.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Autospacing="0" w:after="0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099"/>
        <w:gridCol w:w="4537"/>
      </w:tblGrid>
      <w:tr>
        <w:trPr/>
        <w:tc>
          <w:tcPr>
            <w:tcW w:w="5099" w:type="dxa"/>
            <w:tcBorders/>
          </w:tcPr>
          <w:p>
            <w:pPr>
              <w:pStyle w:val="Style27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4537" w:type="dxa"/>
            <w:tcBorders/>
          </w:tcPr>
          <w:p>
            <w:pPr>
              <w:pStyle w:val="Style27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1 к постановлению Губернатора Камчатского края</w:t>
            </w:r>
          </w:p>
          <w:p>
            <w:pPr>
              <w:pStyle w:val="Style27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06.10.2022 № 103</w:t>
            </w:r>
          </w:p>
        </w:tc>
      </w:tr>
    </w:tbl>
    <w:p>
      <w:pPr>
        <w:pStyle w:val="Normal"/>
        <w:spacing w:before="0" w:afterAutospacing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30" w:right="0" w:hanging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</w:rPr>
        <w:t>Изменения</w:t>
      </w:r>
    </w:p>
    <w:p>
      <w:pPr>
        <w:pStyle w:val="Normal"/>
        <w:widowControl w:val="false"/>
        <w:spacing w:lineRule="auto" w:line="240" w:before="0" w:after="0"/>
        <w:ind w:left="30" w:right="0" w:hanging="0"/>
        <w:jc w:val="center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</w:rPr>
        <w:t xml:space="preserve">в приложение к постановлению Губернатора Камчатского края от 06.10.2023 </w:t>
      </w: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</w:rPr>
        <w:br w:type="textWrapping" w:clear="all"/>
      </w: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</w:rPr>
        <w:t>№ 103 «Об утверждении Положения об организации и ведении гражданской обороны в Камчатском крае»</w:t>
      </w:r>
    </w:p>
    <w:p>
      <w:pPr>
        <w:pStyle w:val="Normal"/>
        <w:widowControl w:val="false"/>
        <w:spacing w:lineRule="auto" w:line="240" w:before="0" w:after="0"/>
        <w:ind w:left="30" w:right="0" w:hanging="0"/>
        <w:jc w:val="center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7 части 4 раздела 2 дополнить подпунктом «к»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«к) организация приема от пострадавшего населения заявлений и документов на предоставление мер социальной поддержки.»;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9 приложения 1 к Положению об организации и ведении гражданской обороны в Камчатском крае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«9. Министерство сельского хозяйства, пищевой и перерабатывающей промышленности Камчатского края: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участвует в разработке плана гражданской обороны и защиты населения Камчатского края;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организует планирование, подготовку и проведение мероприятий по защите сельскохозяйственных растений и запасов продуктов растениеводства при военных конфликтах или вследствие этих конфликтов, а также при чрезвычайных ситуациях природного и техногенного характера;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организует планирование, подготовку и проведение мероприятий по </w:t>
      </w:r>
      <w:bookmarkStart w:id="5" w:name="sub_21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защите сельскохозяйственных животных, запасов продуктов животноводства, источников воды и кормов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  <w:bookmarkEnd w:id="5"/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организует создание сил гражданской обороны в организациях агропромышленного комплекса, пищевой и перерабатывающей промышленности, а также в учреждениях ветеринарии, обеспечивающих выполнение мероприятий регионального уровня по гражданской обороне;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осуществляет контроль за подготовкой сил гражданской обороны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к выполнению задач по предназначению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организует взаимодействие и координирует в пределах своей компетенции деятельность органов местного самоуправления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муниципальных образований в Камчатском крае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при планировании, подготовке и проведении мероприятий по защите сельскохозяйственных растений и запасов продуктов растениеводства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организует планирование, подготовку и проведение аварийно-спасательных и других неотложных работ на ветеринарных объектах, продолжающих работу в военное время;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осуществляет контроль за созданием и поддержанием в состоянии постоянной готовности к использованию по предназначению запасов средств, предназначенных для локализации и ликвидации очагов особо опасных и карантинных болезней животных и птиц;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формирует резерв биопрепаратов, медикаментов и материально-технических средств на случай возникновения очагов заразных болезней животных и птиц и распоряжается его использованием;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осуществляет контроль за соблюдением ветеринарных правил при производстве, заготовках, хранении, перевозках и реализации продуктов и сырья животного происхождения на ветеринарных объектах,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продолжающих работу в военное время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осуществляет контроль за созданием и поддержанием в состоянии постоянной готовности к использованию по предназначению запасов материально-технических средств для сохранения и (или) восстановления производственного процесса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объектах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 агропромышленного комплекса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пищевой и перерабатывающей промышленности, продолжающих работу в военное время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осуществляет контроль обеспеченности защитными сооружениями и средствами индивидуальной защиты работников подведомственных организаций, организаций агропромышленного комплекса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пищевой и перерабатывающей промышленности, а также работников организаций ветеринарии, находящихся в сфере ведения министерства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продолжающих работу в военное время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участвует в работе комиссии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вопросам повышения устойчивости функционирования объектов экономики Камчатского края;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определяет перечень объектов агропромышленного комплекса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пищевой и перерабатывающей промышленности, а также объектов ветеринарии, подлежащих световой маскировке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другим видам маскировки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осуществляет контроль за планированием и проведением мероприятий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световой маскировке и другим видам маскировки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на объектах агропромышленного комплекса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,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пищевой и перерабатывающей промышленности, а также объектов ветеринарии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контролирует создание и работу в мирное и военное время комиссий по вопросам устойчивого функционирования в организациях агропромышленного комплекса, пищевой и перерабатывающей промышленности,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а также в организациях ветеринарии, продолжающих работу в военное время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организует разработку и проведение мероприятий, направленных на повышение устойчивости функционирования объектов агропромышленного комплекса, пищевой и перерабатывающей промышленности, а также объектов ветеринарии в военное время;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принимает участие в организации и проведении учений и тренировок по гражданской обороне;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 xml:space="preserve">определяет перечень организаций агропромышленного комплекса, пищевой и перерабатывающей промышленности, а также организаций ветеринарии, обеспечивающих выполнение регионального уровня по гражданской обороне; 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определяет организациям агропромышленного комплекса, пищевой и перерабатывающей промышленности, указанным в перечне организаций, обеспечивающих выполнение мероприятий регионального уровня по гражданской обороне, мобилизационные задания (заказы) о поставке продукции, проведении работ, выделении сил и средств, об оказании услуг в целях обеспечения выполнения мероприятий по гражданской обороне;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заключает договоры (контракты) с организациями агропромышленного комплекса, пищевой и перерабатывающей промышленности, указанными в перечне организаций, обеспечивающих выполнение мероприятий регионального уровня по гражданской обороне, о выполнении мобилизационных заданий (заказов) в целях выполнения мероприятий по гражданской обороне.».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11 приложения 1 к Положению об организации и ведении гражданской обороны в Камчатском крае дополнить подпунктом 18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«18) организует работу краевого государственного казенного учреждения «Многофункциональный центр предоставления государственных и муниципальных услуг в Камчатском крае» по приему от пострадавшего населения заявлений и документов на предоставление мер социальной поддержки.».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пункт 12 приложения 1 к Положению об организации и ведении гражданской обороны в Камчатском крае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«12. Министерство социального благополучия и семейной политики Камчатского края Камчатского края: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назначает выплаты: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единовременного пособия членам семей граждан, погибших (умерших) при военных конфликтах или вследствие этих конфликтов, а также в результате чрезвычайных ситуаций природного и техногенного характера;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единовременного пособия гражданам, получившим при военных конфликтах или вследствие этих конфликтов, а также в результате чрезвычайных ситуаций природного и техногенного характера вред здоровью;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единовременной материальной помощи гражданам, пострадавшим при военных конфликтах или вследствие этих конфликтов, а также в результате чрезвычайных ситуаций природного и техногенного характера;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гражданам финансовой помощи в связи с утратой ими имущества первой необходимости при военных конфликтах или вследствие этих конфликтов, а также в результате чрезвычайных ситуаций природного и техногенного характера;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ежемесячной денежной выплаты гражданам, подлежащим перемещению из зон опасностей (возможных опасностей) в безопасные районы в военное время;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организует психологическую помощь в местах временного размещения населения, пострадавшего при военных конфликтах или вследствие этих конфликтов, а также в результате чрезвычайных ситуаций природного и техногенного характера;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организует досуг семьям с малолетними детьми в местах временного размещения населения, пострадавшего при военных конфликтах или вследствие этих конфликтов, а также в результате чрезвычайных ситуаций природного и техногенного характера;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организует справочно-информационное обеспечение в местах временного размещения населения,</w:t>
      </w:r>
      <w:r>
        <w:rPr/>
        <w:t xml:space="preserve"> </w:t>
      </w:r>
      <w:r>
        <w:rPr>
          <w:rFonts w:ascii="Times New Roman" w:hAnsi="Times New Roman"/>
          <w:sz w:val="28"/>
        </w:rPr>
        <w:t>пострадавшего при военных конфликтах или вследствие этих конфликтов, а также в результате чрезвычайных ситуаций природного и техногенного характера, в том числе для оформления утраченных документов и получения другой юридической помощи;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организует создание специальных формирований для получения, учета и распределения продуктов питания, вещевого имущества и предметов первой необходимости, поступающих из других субъектов Российской Федерации, а также в качестве гуманитарной помощи от организаций и населения;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осуществляет контроль обеспеченности защитными сооружениями и средствами индивидуальной защиты работников подведомственных организаций, продолжающих работу в военное время, в соответствии с установленным законодательством Российской Федерации порядком;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контролирует создание и работу в мирное и военное время комиссий по вопросам устойчивого функционирования в подведомственных организациях, продолжающих работу в военное время;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контролирует проведение мероприятий, направленных на повышение устойчивости функционирования подведомственных организаций в военное время;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принимает участие в организации и проведении учений и тренировок по гражданской обороне;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bookmarkStart w:id="6" w:name="_GoBack_Copy_1_Copy_1"/>
      <w:bookmarkEnd w:id="6"/>
      <w:r>
        <w:rPr>
          <w:rFonts w:ascii="Times New Roman" w:hAnsi="Times New Roman"/>
          <w:sz w:val="28"/>
        </w:rPr>
        <w:t>) определяет перечень организаций, обеспечивающих выполнение мероприятий регионального уровня по гражданской обороне.».</w:t>
      </w:r>
    </w:p>
    <w:p>
      <w:pPr>
        <w:sectPr>
          <w:headerReference w:type="default" r:id="rId3"/>
          <w:headerReference w:type="first" r:id="rId4"/>
          <w:footerReference w:type="first" r:id="rId5"/>
          <w:type w:val="nextPage"/>
          <w:pgSz w:w="11906" w:h="16838"/>
          <w:pgMar w:left="1418" w:right="851" w:gutter="0" w:header="403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pacing w:val="0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t>5) приложение 2 изложить в редакции согласно приложению к настоящему постановлению.</w:t>
      </w:r>
      <w:r>
        <w:br w:type="page"/>
      </w:r>
    </w:p>
    <w:tbl>
      <w:tblPr>
        <w:tblStyle w:val="844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82"/>
        <w:gridCol w:w="480"/>
        <w:gridCol w:w="8304"/>
        <w:gridCol w:w="478"/>
        <w:gridCol w:w="1878"/>
        <w:gridCol w:w="486"/>
        <w:gridCol w:w="1984"/>
      </w:tblGrid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>
          <w:trHeight w:val="200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Губернатора Камчатского края</w:t>
            </w:r>
          </w:p>
        </w:tc>
      </w:tr>
      <w:tr>
        <w:trPr/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tbl>
      <w:tblPr>
        <w:tblStyle w:val="844"/>
        <w:tblW w:w="14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779"/>
        <w:gridCol w:w="4790"/>
      </w:tblGrid>
      <w:tr>
        <w:trPr/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«Приложение 2 к постановлению Губернатора Камчатского края</w:t>
            </w:r>
          </w:p>
          <w:p>
            <w:pPr>
              <w:pStyle w:val="Style27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ahoma" w:cs="Lohit Devanagari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от 06.10.2022 № 103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нештатных спасательных служб, предназначенных для решения задач гражданской обороны и защиты населения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 территории Камчатского края от чрезвычайных ситуаций природного и техногенного характера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8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8"/>
        <w:gridCol w:w="2127"/>
        <w:gridCol w:w="2834"/>
        <w:gridCol w:w="9214"/>
      </w:tblGrid>
      <w:tr>
        <w:trPr>
          <w:tblHeader w:val="true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Наименования нештатных спасательных служб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Наименования исполнительных органов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Камчатского края</w:t>
            </w:r>
          </w:p>
        </w:tc>
        <w:tc>
          <w:tcPr>
            <w:tcW w:w="921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Задачи нештатных спасательных служб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tbl>
      <w:tblPr>
        <w:tblW w:w="14884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8"/>
        <w:gridCol w:w="2127"/>
        <w:gridCol w:w="2834"/>
        <w:gridCol w:w="9214"/>
      </w:tblGrid>
      <w:tr>
        <w:trPr>
          <w:tblHeader w:val="true"/>
        </w:trPr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12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921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Обеспечение связи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цифрового развития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1) обеспечение связью органов управления и сил гражданской обороны и </w:t>
            </w:r>
            <w:r>
              <w:rPr>
                <w:rFonts w:eastAsia="Courier New" w:cs="Times New Roman" w:ascii="Times New Roman" w:hAnsi="Times New Roman"/>
                <w:spacing w:val="-2"/>
                <w:sz w:val="28"/>
                <w:szCs w:val="28"/>
                <w:lang w:val="ru-RU" w:eastAsia="ru-RU" w:bidi="ar-SA"/>
              </w:rPr>
              <w:t>Камчатской 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 (далее – ГО и КТП РСЧС) с целью организации взаимодействия и управления аварийно-спасательными и другими неотложными работами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9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и контроль за эксплуатационно-техническим обслуживанием стационарных средств связи и их восстановлением при выходе из строя в условиях военного времени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Медицинская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здравоохранения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проведение медицинских и лечебно-эвакуационных мероприятий, направленных на сохранение жизни и здоровья населения, своевременное оказание медицинской помощи пораженным и больным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медицинское обеспечение эвакуационных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организация и проведение санитарно-гигиенических и противоэпидемических мероприятий, направленных на предупреждение возникновения и распространения инфекционных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заболеваний и поддержание санитарно-эпидемического благополучия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 организация и проведение судебно-криминалистических исследований тел погибших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Инженерная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осуществление инженерного обеспечения аварийно-спасательных и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и проведение мероприятий, направленных на обеспечение укрытия населения в защитных сооружениях гражданской обороны;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инженерное обеспечение эвакуационных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 инвентаризация сохранившегося, и оценка состояния поврежденного жилого фонда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Коммунально-техническая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и энергетики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 организация и осуществление срочного восстановления функционирования объектов энергетического комплекса и жилищно-коммунального хозяйства в военное время;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и проведение мероприятий по обеспечению жильем, питьевой водой, теплом и коммунально-бытовыми услугами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а также личного состава сил ГО и КТП РСЧС при проведении аварийно-спасательных и других неотложных работ;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организация и осуществление срочного захоронения трупов при крупномасштабных чрезвычайных ситуациях природного и техногенного характера, пандемиях и после применения противником оружия массового поражения;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 коммунально-бытовое обеспечение эвакуационных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5) организация и проведение мероприятий по проведению обеззараживания техники, зданий и территорий, санитарной обработке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6) осуществление контроля за созданием и поддержанием в состоянии постоянной готовности к использованию по предназначению запасов материально-технических средств для сохранения и (или) восстановления производственного процесса на объектах энергетического комплекса и жилищно-коммунального хозяйства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5.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Снабжения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горюче-смазочными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материалами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осуществление контроля за созданием запасов горюче-смазочных материалов;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обеспечения горюче-смазочными материалами техники, привлекаемой для проведения аварийно-спасательных и других неотложных работ, а также для проведения эвакуационных мероприятий при военных конфликтах или вследствие этих конфликтов, а также при чрезвычайных ситуациях природного и техногенного характера с использованием для этих целей стационарных и подвижных автозаправочных станций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6.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Транспортная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осуществление транспортного обеспечения аварийно-спасательных и других неотложных работ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транспортное обеспечение эвакуационных мероприятий;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доставка рассредоточиваемых рабочих смен организаций из безопасных районов к местам работы и обратно;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 организация ремонта техники, вышедшей из строя в ходе выполнения мероприятий гражданской обороны, эвакуация поврежденной и неисправной техники с маршрутов и участков работ на сборные пункты поврежденных машин и в ремонтные организации, снабжение ремонтных организаций и формирований служб запасными частями и ремонтными материалами;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5) организация и выполнение ремонтных работ, оборудование объездов на разрушенных или непроходимых участках дорог, оборудование и содержание переправ через водные преграды в целях создания условий для беспрепятственного маневра сил ГО и КТП РСЧС, своевременного подвоза необходимых материально-технических средств, проведения эвакуационных мероприятий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7.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Торговли и питания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Министерство экономического развития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нормированного снабжения населения в военное время;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продовольствием, вещевым имуществом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предметами первой необходимости;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организация и обеспечение питанием, продовольственными товарами и товарами первой необходимости личного состава сил ГО и КТП РСЧС при проведении аварийно-спасательных и других неотложных работ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8.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Противопожарной охраны лесов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Агентство лесного хозяйства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проведение мероприятий по противопожарному обустройству лесов;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и проведение мероприятий, направленных на предотвращение, своевременное обнаружение и ликвидацию лесных пожаров при военных конфликтах или вследствие этих конфликтов, а также при чрезвычайных ситуациях природного и техногенного характера</w:t>
            </w:r>
            <w:bookmarkStart w:id="7" w:name="_GoBack_Copy_2"/>
            <w:bookmarkEnd w:id="7"/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9.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Защиты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сельскохозяйственных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животных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проведение мероприятий по предупреждению и ликвидации болезней сельскохозяйственных животных;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организация и проведение мероприятий по защите населения от болезней, общих для человека и животных;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организация мероприятий по защите сельскохозяйственных животных, запасов продуктов животноводства, источников воды 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кормов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 создание запасов средств, предназначенных для локализации и ликвидации очагов особо опасных и карантинных болезней животных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10.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Защиты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сельскохозяйственных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растений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организация и проведение мероприятий по предупреждению и уничтожению вредителей, по предупреждению и борьбе с болезнями сельскохозяйственных растений в целях предотвращения чрезвычайных ситуаций, вызванных локальными природными и иными явлениями;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проведение мероприятий по защите сельскохозяйственных растений, запасов продуктов растениеводства, обезвреживания сельскохозяйственных угодий и герметизации складских помещений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осуществление контроля за созданием запасов средств, предназначенных для локализации и ликвидации очагов наиболее опасных болезней и вредителей сельскохозяйственных растений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11.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Защиты культурных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ценностей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культуры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1) определение перечня культурных и материальных ценностей, подлежащих эвакуации в безопасные районы;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2) заблаговременная подготовка культурных и материальных ценностей к вывозу в безопасные районы;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3) организация накопления запасов тары, упаковочного материала;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4) обеспечение заблаговременной подготовки мест хранения культурных и материальных ценностей в безопасных районах;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5) организация эвакуации культурных и материальных ценностей в безопасные районы;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6) осуществление мер по защите культурных ценностей и памятников истории и культуры в военное время</w:t>
            </w:r>
          </w:p>
        </w:tc>
      </w:tr>
      <w:tr>
        <w:trPr/>
        <w:tc>
          <w:tcPr>
            <w:tcW w:w="7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 xml:space="preserve">12.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Социального обеспечения и назначения выплат пострадавшему населению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 w:eastAsia="en-US" w:bidi="ar-SA"/>
              </w:rPr>
              <w:t>Министерство социального  благополучия и семейной политики Камчатского края</w:t>
            </w:r>
          </w:p>
        </w:tc>
        <w:tc>
          <w:tcPr>
            <w:tcW w:w="92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 xml:space="preserve">1) назначение выплат гражданам, пострадавшим </w:t>
            </w:r>
            <w:bookmarkStart w:id="8" w:name="_Hlk138262446"/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при военных конфликтах или вследствие этих конфликтов, а также в результате чрезвычайных ситуаций природного и техногенного характера</w:t>
            </w:r>
            <w:bookmarkEnd w:id="8"/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2) организация психологической помощи в местах временного размещения населения, пострадавшего при военных конфликтах или вследствие этих конфликтов, а также в результате чрезвычайных ситуаций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3) организация досуга семьям с малолетними детьми в местах временного размещения населения, пострадавшего при военных конфликтах или вследствие этих конфликтов, а также в результате чрезвычайных ситуаций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  <w:shd w:fill="auto" w:val="clear"/>
              </w:rPr>
              <w:t>4) организация справочно-информационного обеспечения в местах временного размещения населения,</w:t>
            </w:r>
            <w:r>
              <w:rPr>
                <w:color w:val="000000"/>
                <w:spacing w:val="0"/>
                <w:sz w:val="22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  <w:shd w:fill="auto" w:val="clear"/>
              </w:rPr>
              <w:t>пострадавшего при военных конфликтах или вследствие этих конфликтов, а также в результате чрезвычайных ситуаций природного и техногенного характера, в том числе для оформления утраченных документов и получения другой юридической помощи;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5) создание специальных формирований для получения, учета и распределения продуктов питания, вещевого имущества и предметов первой необходимости, поступающих из других субъектов Российской Федерации, а также в качестве гуманитарной помощи от организаций и населения;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color w:val="000000"/>
                <w:spacing w:val="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  <w:shd w:fill="auto" w:val="clear"/>
              </w:rPr>
              <w:t>6) организация работы кабинетов психологического обеспечения, комнат матери и ребенка, справочно-информационной службы, в том числе для оформления утраченных в результате чрезвычайных ситуаций документов и получения другой юридической помощи в местах временного размещения населения пострадавшего</w:t>
            </w:r>
            <w:r>
              <w:rPr>
                <w:color w:val="000000"/>
                <w:spacing w:val="0"/>
                <w:sz w:val="22"/>
                <w:szCs w:val="20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  <w:shd w:fill="auto" w:val="clear"/>
              </w:rPr>
              <w:t>при военных конфликтах или вследствие этих конфликтов, а также в результате чрезвычайных ситуаций природного и техногенного характера;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7) привлечение общественных организаций, волонтеров и организаций к обеспечению продуктами питания, вещевым имуществом и предметами первой необходимости населения, пострадавшего при военных конфликтах или вследствие этих конфликтов, а также в результате чрезвычайных ситуаций природного и техногенного характера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headerReference w:type="default" r:id="rId6"/>
      <w:footerReference w:type="default" r:id="rId7"/>
      <w:type w:val="nextPage"/>
      <w:pgSz w:orient="landscape" w:w="16838" w:h="11906"/>
      <w:pgMar w:left="1134" w:right="1134" w:gutter="0" w:header="403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5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  <w:fldChar w:fldCharType="begin"/>
    </w:r>
    <w:r>
      <w:rPr>
        <w:sz w:val="28"/>
        <w:szCs w:val="28"/>
        <w:rFonts w:cs="Times New Roman" w:ascii="Times New Roman" w:hAnsi="Times New Roman"/>
      </w:rPr>
      <w:instrText xml:space="preserve"> PAGE </w:instrText>
    </w:r>
    <w:r>
      <w:rPr>
        <w:sz w:val="28"/>
        <w:szCs w:val="28"/>
        <w:rFonts w:cs="Times New Roman" w:ascii="Times New Roman" w:hAnsi="Times New Roman"/>
      </w:rPr>
      <w:fldChar w:fldCharType="separate"/>
    </w:r>
    <w:r>
      <w:rPr>
        <w:sz w:val="28"/>
        <w:szCs w:val="28"/>
        <w:rFonts w:cs="Times New Roman" w:ascii="Times New Roman" w:hAnsi="Times New Roman"/>
      </w:rPr>
      <w:t>12</w:t>
    </w:r>
    <w:r>
      <w:rPr>
        <w:sz w:val="28"/>
        <w:szCs w:val="28"/>
        <w:rFonts w:cs="Times New Roman" w:ascii="Times New Roman" w:hAnsi="Times New Roman"/>
      </w:rPr>
      <w:fldChar w:fldCharType="end"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Caption"/>
    <w:uiPriority w:val="99"/>
    <w:qFormat/>
    <w:rPr/>
  </w:style>
  <w:style w:type="character" w:styleId="FootnoteTextChar">
    <w:name w:val="Footnote Text Char"/>
    <w:link w:val="Footnote1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Contents2">
    <w:name w:val="Contents 2"/>
    <w:link w:val="Contents21"/>
    <w:qFormat/>
    <w:rPr>
      <w:rFonts w:ascii="XO Thames" w:hAnsi="XO Thames"/>
      <w:sz w:val="28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link w:val="Contents41"/>
    <w:qFormat/>
    <w:rPr>
      <w:rFonts w:ascii="XO Thames" w:hAnsi="XO Thames"/>
      <w:sz w:val="28"/>
    </w:rPr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color w:val="000000"/>
      <w:spacing w:val="0"/>
      <w:sz w:val="26"/>
    </w:rPr>
  </w:style>
  <w:style w:type="character" w:styleId="Style9">
    <w:name w:val="Колонтитул"/>
    <w:link w:val="Style22"/>
    <w:qFormat/>
    <w:rPr>
      <w:rFonts w:ascii="XO Thames" w:hAnsi="XO Thames"/>
      <w:color w:val="000000"/>
      <w:spacing w:val="0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List">
    <w:name w:val="List"/>
    <w:basedOn w:val="Textbody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Style10">
    <w:name w:val="Указатель"/>
    <w:link w:val="Style17"/>
    <w:qFormat/>
    <w:rPr/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11">
    <w:name w:val="Основной шрифт абзаца1"/>
    <w:link w:val="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Textbody">
    <w:name w:val="Text body"/>
    <w:link w:val="Textbody1"/>
    <w:qFormat/>
    <w:rPr/>
  </w:style>
  <w:style w:type="character" w:styleId="12">
    <w:name w:val="Гиперссылка1"/>
    <w:basedOn w:val="11"/>
    <w:link w:val="15"/>
    <w:qFormat/>
    <w:rPr>
      <w:color w:val="0563C1" w:themeColor="hyperlink"/>
      <w:u w:val="single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Indexheading">
    <w:name w:val="index heading"/>
    <w:link w:val="Indexheading1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Style11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Style12">
    <w:name w:val="Заголовок"/>
    <w:link w:val="Style13"/>
    <w:qFormat/>
    <w:rPr>
      <w:rFonts w:ascii="Open Sans" w:hAnsi="Open Sans"/>
      <w:sz w:val="28"/>
    </w:rPr>
  </w:style>
  <w:style w:type="character" w:styleId="13">
    <w:name w:val="Обычный1"/>
    <w:link w:val="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aption">
    <w:name w:val="Caption"/>
    <w:qFormat/>
    <w:rPr>
      <w:i/>
      <w:sz w:val="24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paragraph" w:styleId="Style13">
    <w:name w:val="Заголовок"/>
    <w:basedOn w:val="Normal"/>
    <w:next w:val="Style14"/>
    <w:link w:val="Style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Textbody1"/>
    <w:pPr/>
    <w:rPr/>
  </w:style>
  <w:style w:type="paragraph" w:styleId="Style16">
    <w:name w:val="Caption"/>
    <w:basedOn w:val="Normal"/>
    <w:qFormat/>
    <w:pPr>
      <w:spacing w:before="120" w:after="120"/>
    </w:pPr>
    <w:rPr>
      <w:i/>
      <w:sz w:val="24"/>
    </w:rPr>
  </w:style>
  <w:style w:type="paragraph" w:styleId="Style17">
    <w:name w:val="Указатель"/>
    <w:basedOn w:val="Normal"/>
    <w:link w:val="Style10"/>
    <w:qFormat/>
    <w:pPr/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0">
    <w:name w:val="Index Heading"/>
    <w:basedOn w:val="Style13"/>
    <w:pPr/>
    <w:rPr/>
  </w:style>
  <w:style w:type="paragraph" w:styleId="Style21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Tahoma" w:cs="Lohit Devanagari" w:asciiTheme="minorAscii" w:hAnsiTheme="minorHAnsi"/>
      <w:color w:val="00000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Колонтитул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сновной шрифт абзаца1"/>
    <w:link w:val="11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Гиперссылка1"/>
    <w:basedOn w:val="14"/>
    <w:link w:val="12"/>
    <w:qFormat/>
    <w:pPr/>
    <w:rPr>
      <w:color w:val="0563C1" w:themeColor="hyperlink"/>
      <w:u w:val="single"/>
    </w:rPr>
  </w:style>
  <w:style w:type="paragraph" w:styleId="Style24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Indexheading1">
    <w:name w:val="index heading"/>
    <w:basedOn w:val="Normal"/>
    <w:link w:val="Indexheading"/>
    <w:qFormat/>
    <w:pPr/>
    <w:rPr/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7">
    <w:name w:val="Обычный1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6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styleId="719">
    <w:name w:val="Table Grid Light"/>
    <w:basedOn w:val="84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45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1">
    <w:name w:val="Plain Table 2"/>
    <w:basedOn w:val="8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2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23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7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9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0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1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8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49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0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1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4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55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56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57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58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59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0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1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62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63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64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65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6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67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8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9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4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8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9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0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1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2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3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4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5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6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3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4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5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6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7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8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09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0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2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3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4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5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6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17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18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19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0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1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22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23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24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25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26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27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28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29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0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1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2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3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4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5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6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7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8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0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1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2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3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styleId="844">
    <w:name w:val="Table Grid"/>
    <w:basedOn w:val="8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default="1" w:styleId="845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Сетка таблицы2"/>
    <w:basedOn w:val="84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7">
    <w:name w:val="Сетка таблицы1"/>
    <w:basedOn w:val="845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header" Target="header3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  <Pages>12</Pages>
  <Words>2482</Words>
  <Characters>18621</Characters>
  <CharactersWithSpaces>20908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2023-09-13T03:23:08Z</dcterms:modified>
  <cp:revision>11</cp:revision>
  <dc:subject/>
  <dc:title/>
</cp:coreProperties>
</file>