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</w:t>
      </w:r>
      <w:r/>
    </w:p>
    <w:p>
      <w:pPr>
        <w:ind w:left="538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Правительства Камчатского края </w:t>
      </w:r>
      <w:r/>
    </w:p>
    <w:p>
      <w:pPr>
        <w:ind w:left="5387"/>
        <w:jc w:val="both"/>
        <w:widowControl w:val="off"/>
        <w:rPr>
          <w:sz w:val="28"/>
          <w:szCs w:val="28"/>
        </w:rPr>
      </w:pPr>
      <w:r>
        <w:rPr>
          <w:sz w:val="28"/>
          <w:szCs w:val="20"/>
        </w:rPr>
        <w:t xml:space="preserve">от [Д</w:t>
      </w:r>
      <w:r>
        <w:rPr>
          <w:sz w:val="18"/>
          <w:szCs w:val="20"/>
        </w:rPr>
        <w:t xml:space="preserve">ата</w:t>
      </w:r>
      <w:r>
        <w:rPr>
          <w:szCs w:val="20"/>
        </w:rPr>
        <w:t xml:space="preserve"> </w:t>
      </w:r>
      <w:r>
        <w:rPr>
          <w:sz w:val="18"/>
          <w:szCs w:val="20"/>
        </w:rPr>
        <w:t xml:space="preserve">регистрации</w:t>
      </w:r>
      <w:r>
        <w:rPr>
          <w:sz w:val="28"/>
          <w:szCs w:val="20"/>
        </w:rPr>
        <w:t xml:space="preserve">] № [Н</w:t>
      </w:r>
      <w:r>
        <w:rPr>
          <w:sz w:val="18"/>
          <w:szCs w:val="20"/>
        </w:rPr>
        <w:t xml:space="preserve">омер</w:t>
      </w:r>
      <w:r>
        <w:rPr>
          <w:szCs w:val="20"/>
        </w:rPr>
        <w:t xml:space="preserve"> </w:t>
      </w:r>
      <w:r>
        <w:rPr>
          <w:sz w:val="18"/>
          <w:szCs w:val="20"/>
        </w:rPr>
        <w:t xml:space="preserve">документа</w:t>
      </w:r>
      <w:r>
        <w:rPr>
          <w:sz w:val="28"/>
          <w:szCs w:val="20"/>
        </w:rPr>
        <w:t xml:space="preserve">]</w:t>
      </w:r>
      <w:r/>
    </w:p>
    <w:p>
      <w:pPr>
        <w:jc w:val="right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осударственную программу Камчатского края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«Безопасная Камчатка»</w:t>
      </w:r>
      <w:r>
        <w:rPr>
          <w:sz w:val="28"/>
          <w:szCs w:val="28"/>
        </w:rPr>
        <w:t xml:space="preserve">, утвержденную постановлением Правительства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от 14.11.2016 № 448-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6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паспорте Программы: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р</w:t>
      </w:r>
      <w:r>
        <w:rPr>
          <w:sz w:val="28"/>
          <w:szCs w:val="28"/>
        </w:rPr>
        <w:t xml:space="preserve">аздел «</w:t>
      </w:r>
      <w:r>
        <w:rPr>
          <w:sz w:val="28"/>
        </w:rPr>
        <w:t xml:space="preserve">Объемы </w:t>
      </w:r>
      <w:r>
        <w:rPr>
          <w:sz w:val="28"/>
          <w:szCs w:val="28"/>
        </w:rPr>
        <w:t xml:space="preserve">бюджетных ассигнований Программы» изложить в следующей редакции:</w:t>
      </w:r>
      <w:r/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3862"/>
        <w:gridCol w:w="5811"/>
      </w:tblGrid>
      <w:tr>
        <w:trPr/>
        <w:tc>
          <w:tcPr>
            <w:tcW w:w="3862" w:type="dxa"/>
            <w:textDirection w:val="lrTb"/>
            <w:noWrap w:val="false"/>
          </w:tcPr>
          <w:p>
            <w:pPr>
              <w:pStyle w:val="735"/>
              <w:ind w:left="0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бюджетных</w:t>
            </w:r>
            <w:r/>
          </w:p>
          <w:p>
            <w:pPr>
              <w:pStyle w:val="735"/>
              <w:ind w:left="0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Программы</w:t>
            </w:r>
            <w:r/>
          </w:p>
          <w:p>
            <w:pPr>
              <w:pStyle w:val="735"/>
              <w:ind w:left="0"/>
              <w:tabs>
                <w:tab w:val="left" w:pos="0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на 2017 - 2025 годы составляет </w:t>
            </w:r>
            <w:r>
              <w:rPr>
                <w:sz w:val="28"/>
                <w:szCs w:val="28"/>
              </w:rPr>
              <w:t xml:space="preserve">14 041 965,06139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за счет средств: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13 757 508,48243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1 222 497,97972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1 461 923,84323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1 375 0</w:t>
            </w:r>
            <w:r>
              <w:rPr>
                <w:sz w:val="28"/>
                <w:szCs w:val="28"/>
              </w:rPr>
              <w:t xml:space="preserve">34,</w:t>
            </w:r>
            <w:r>
              <w:rPr>
                <w:sz w:val="28"/>
                <w:szCs w:val="28"/>
              </w:rPr>
              <w:t xml:space="preserve">34137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1 435 334,49918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1 388 85</w:t>
            </w:r>
            <w:r>
              <w:rPr>
                <w:sz w:val="28"/>
                <w:szCs w:val="28"/>
              </w:rPr>
              <w:t xml:space="preserve">5,89600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421 215,53179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904 060,58400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776 364,78714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772 220,72000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(по согласованию) –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284 456,57896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24 118,15000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38 087,52480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36 810,36022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36 600,00000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27 480,00000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28 579,20000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29 722,36800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30 911,26272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32 147,71322 </w:t>
            </w:r>
            <w:r>
              <w:rPr>
                <w:sz w:val="28"/>
                <w:szCs w:val="28"/>
              </w:rPr>
              <w:t xml:space="preserve">тыс. рублей».</w:t>
            </w:r>
            <w:r/>
          </w:p>
        </w:tc>
      </w:tr>
    </w:tbl>
    <w:p>
      <w:pPr>
        <w:pStyle w:val="75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паспорте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1 «Обеспечение реализации Программы»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аздел «Объемы бюджетных ассигнований Подпрограммы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 изложить в следующей редакции:</w:t>
      </w:r>
      <w:r/>
    </w:p>
    <w:tbl>
      <w:tblPr>
        <w:tblW w:w="971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5750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pStyle w:val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75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5750" w:type="dxa"/>
            <w:textDirection w:val="lrTb"/>
            <w:noWrap w:val="false"/>
          </w:tcPr>
          <w:p>
            <w:pPr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на 2017 - 2025 годы составляет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313 100,84302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том числе за счет средств: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313 100,84302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36 162,69044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38 067,67792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  <w:t xml:space="preserve"> 140,60000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37 322,27778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36 565,88600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26 173,81088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33 889,30000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33 889,30000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33 889,30000 </w:t>
            </w:r>
            <w:r>
              <w:rPr>
                <w:sz w:val="28"/>
                <w:szCs w:val="28"/>
              </w:rPr>
              <w:t xml:space="preserve">тыс. рублей»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</w:tbl>
    <w:p>
      <w:pPr>
        <w:pStyle w:val="75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дпрограммы 2 «Защита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аздел «Объемы бюджетных ассигнований Подпрограммы 2» изложить в следующей редакции:</w:t>
      </w:r>
      <w:r/>
    </w:p>
    <w:tbl>
      <w:tblPr>
        <w:tblW w:w="957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5608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pStyle w:val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75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2</w:t>
            </w:r>
            <w:r/>
          </w:p>
        </w:tc>
        <w:tc>
          <w:tcPr>
            <w:tcW w:w="5608" w:type="dxa"/>
            <w:textDirection w:val="lrTb"/>
            <w:noWrap w:val="false"/>
          </w:tcPr>
          <w:p>
            <w:pPr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2 на 2017 - 2025 годы составляет </w:t>
            </w: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 466 879,38031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за счет средств: 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 397 990,45392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1 106 422,61116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1 232 839,84587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184 641,04860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1 212 832,63141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1 228 979,42000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234 825,56774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461 359,87700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370 175,11214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365 914,34000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(по согласованию) –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68 888,92639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12 990,00000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13 000,00000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13 000,00000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13 000,00000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3 120,00000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3 244,80000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3 374,59200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3 509 57568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3 649,95871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рублей».</w:t>
            </w:r>
            <w:r/>
          </w:p>
        </w:tc>
      </w:tr>
    </w:tbl>
    <w:p>
      <w:pPr>
        <w:pStyle w:val="75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паспорте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3 «Построение и развитие аппаратно-программного комплекса «Безопасный город», обеспечение комплексной безопасности учреждений социальной сферы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5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раздел «Объемы бюджетных ассигнований Подпрограммы 3»</w:t>
      </w:r>
      <w:r>
        <w:rPr>
          <w:rFonts w:ascii="Times New Roman" w:hAnsi="Times New Roman" w:cs="Times New Roman"/>
          <w:sz w:val="28"/>
          <w:szCs w:val="28"/>
        </w:rPr>
        <w:t xml:space="preserve"> изложить с следующей редакции:</w:t>
      </w:r>
      <w:r/>
    </w:p>
    <w:tbl>
      <w:tblPr>
        <w:tblW w:w="957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5608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pStyle w:val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75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3</w:t>
            </w:r>
            <w:r/>
          </w:p>
        </w:tc>
        <w:tc>
          <w:tcPr>
            <w:tcW w:w="5608" w:type="dxa"/>
            <w:textDirection w:val="lrTb"/>
            <w:noWrap w:val="false"/>
          </w:tcPr>
          <w:p>
            <w:pPr>
              <w:ind w:left="68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</w:t>
            </w:r>
            <w:r>
              <w:rPr>
                <w:sz w:val="28"/>
                <w:szCs w:val="28"/>
              </w:rPr>
              <w:t xml:space="preserve">ирования Подпрограммы 3 на 2017-</w:t>
            </w:r>
            <w:r>
              <w:rPr>
                <w:sz w:val="28"/>
                <w:szCs w:val="28"/>
              </w:rPr>
              <w:t xml:space="preserve">2025 годы составляет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 853 417,68524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за счет средств: 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1 663 229,07102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61 951,99445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169 475,92152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119 031,68232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125 299,62481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  81 337,80000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125 328,18592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</w:t>
            </w:r>
            <w:r>
              <w:rPr>
                <w:sz w:val="28"/>
                <w:szCs w:val="28"/>
              </w:rPr>
              <w:t xml:space="preserve"> 347 544,40700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</w:t>
            </w:r>
            <w:r>
              <w:rPr>
                <w:sz w:val="28"/>
                <w:szCs w:val="28"/>
              </w:rPr>
              <w:t xml:space="preserve"> 316 571,37500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316 688,08000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(по согласованию) –      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190 188,61422 тыс. рублей, из них по годам: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7 757,15000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20 757,15000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21 122,72822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21 230,00000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22 030,00000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22 911,20000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23 827,64800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24 780,75392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25 771,98408 тыс. рублей».</w:t>
            </w:r>
            <w:r/>
          </w:p>
        </w:tc>
      </w:tr>
    </w:tbl>
    <w:p>
      <w:pPr>
        <w:pStyle w:val="75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паспорте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4 «Профилактика правонарушений, преступлений и повышение безопасности дорожного </w:t>
      </w:r>
      <w:r>
        <w:rPr>
          <w:rFonts w:ascii="Times New Roman" w:hAnsi="Times New Roman" w:cs="Times New Roman"/>
          <w:sz w:val="28"/>
          <w:szCs w:val="28"/>
        </w:rPr>
        <w:t xml:space="preserve">движения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pStyle w:val="75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аздел «Объемы бюджетных ассигнований Подпрограммы 4» изложить в следующей редакции:</w:t>
      </w:r>
      <w:r/>
    </w:p>
    <w:tbl>
      <w:tblPr>
        <w:tblW w:w="957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5608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pStyle w:val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75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4</w:t>
            </w:r>
            <w:r/>
          </w:p>
        </w:tc>
        <w:tc>
          <w:tcPr>
            <w:tcW w:w="5608" w:type="dxa"/>
            <w:textDirection w:val="lrTb"/>
            <w:noWrap w:val="false"/>
          </w:tcPr>
          <w:p>
            <w:pPr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4 на 2017 - 2025 годы составляет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60 731,49980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за счет средств: 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37 945,59017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6 306,82648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9 772,61681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7 537,74611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4 773,94727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2 76</w:t>
            </w:r>
            <w:r>
              <w:rPr>
                <w:sz w:val="28"/>
                <w:szCs w:val="28"/>
              </w:rPr>
              <w:t xml:space="preserve">0,00000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3 060,65350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7 168,60000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2 610,60000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2 610,60000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(по согласованию) – </w:t>
            </w:r>
            <w:r>
              <w:rPr>
                <w:color w:val="FF0000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22 785,90963</w:t>
            </w:r>
            <w:r>
              <w:rPr>
                <w:sz w:val="28"/>
                <w:szCs w:val="28"/>
              </w:rPr>
              <w:t xml:space="preserve"> тыс. рублей, из них по годам</w:t>
            </w:r>
            <w:r>
              <w:rPr>
                <w:sz w:val="28"/>
                <w:szCs w:val="28"/>
              </w:rPr>
              <w:t xml:space="preserve">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2 470,00000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3 700,00000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2 500,00000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2 200,00000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2 200,00000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2 288,00000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2 379,52000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2 474,70080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756"/>
              <w:ind w:left="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2 573,68883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  <w:r/>
          </w:p>
        </w:tc>
      </w:tr>
    </w:tbl>
    <w:p>
      <w:pPr>
        <w:pStyle w:val="75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5 «Профилактика терроризма и</w:t>
      </w:r>
      <w:r>
        <w:rPr>
          <w:rFonts w:ascii="Times New Roman" w:hAnsi="Times New Roman" w:cs="Times New Roman"/>
          <w:sz w:val="28"/>
          <w:szCs w:val="28"/>
        </w:rPr>
        <w:t xml:space="preserve"> экстремизма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5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аздел «Объемы бюджетных ассигнований Подпрограммы 5» изложить в следующей редакции:</w:t>
      </w:r>
      <w:r/>
    </w:p>
    <w:tbl>
      <w:tblPr>
        <w:tblW w:w="957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5608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pStyle w:val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75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5</w:t>
            </w:r>
            <w:r/>
          </w:p>
        </w:tc>
        <w:tc>
          <w:tcPr>
            <w:tcW w:w="5608" w:type="dxa"/>
            <w:textDirection w:val="lrTb"/>
            <w:noWrap w:val="false"/>
          </w:tcPr>
          <w:p>
            <w:pPr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5 на 2017 - 2025 годы сост</w:t>
            </w:r>
            <w:r>
              <w:rPr>
                <w:sz w:val="28"/>
                <w:szCs w:val="28"/>
              </w:rPr>
              <w:t xml:space="preserve">авляет </w:t>
            </w:r>
            <w:r>
              <w:rPr>
                <w:sz w:val="28"/>
                <w:szCs w:val="28"/>
              </w:rPr>
              <w:t xml:space="preserve">284 200,92241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за счет средств: 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283 469,54761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5 124,00000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2 137,59853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 300,00000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47 201,14533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35 205,49000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27 324,61375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50 163,90000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50 163,90000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50 163,90000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right="14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(по согласованию) –</w:t>
            </w:r>
            <w:r>
              <w:rPr>
                <w:color w:val="FF0000"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731,37480 тыс. рублей, из них по годам:</w:t>
            </w:r>
            <w:r/>
          </w:p>
          <w:p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696,00000 тыс. рублей;</w:t>
            </w:r>
            <w:r/>
          </w:p>
          <w:p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35,37480 тыс. рублей;</w:t>
            </w:r>
            <w:r/>
          </w:p>
          <w:p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0,00000 тыс. рублей;</w:t>
            </w:r>
            <w:r/>
          </w:p>
          <w:p>
            <w:pPr>
              <w:pStyle w:val="75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0,00000 тыс. рублей».</w:t>
            </w:r>
            <w:r/>
          </w:p>
        </w:tc>
      </w:tr>
    </w:tbl>
    <w:p>
      <w:pPr>
        <w:pStyle w:val="75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одпр</w:t>
      </w:r>
      <w:r>
        <w:rPr>
          <w:rFonts w:ascii="Times New Roman" w:hAnsi="Times New Roman" w:cs="Times New Roman"/>
          <w:sz w:val="28"/>
          <w:szCs w:val="28"/>
        </w:rPr>
        <w:t xml:space="preserve">ограммы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наркомании и алкоголизма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5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аздел «Объемы бюджетных ассигнований Подпрограммы 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tbl>
      <w:tblPr>
        <w:tblW w:w="971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5750"/>
      </w:tblGrid>
      <w:tr>
        <w:trPr/>
        <w:tc>
          <w:tcPr>
            <w:tcW w:w="3969" w:type="dxa"/>
            <w:textDirection w:val="lrTb"/>
            <w:noWrap w:val="false"/>
          </w:tcPr>
          <w:p>
            <w:pPr>
              <w:pStyle w:val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75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6</w:t>
            </w:r>
            <w:r/>
          </w:p>
        </w:tc>
        <w:tc>
          <w:tcPr>
            <w:tcW w:w="5750" w:type="dxa"/>
            <w:textDirection w:val="lrTb"/>
            <w:noWrap w:val="false"/>
          </w:tcPr>
          <w:p>
            <w:pPr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6 на 2017 - 2025 годы сост</w:t>
            </w:r>
            <w:r>
              <w:rPr>
                <w:sz w:val="28"/>
                <w:szCs w:val="28"/>
              </w:rPr>
              <w:t xml:space="preserve">авляет </w:t>
            </w:r>
            <w:r>
              <w:rPr>
                <w:sz w:val="28"/>
                <w:szCs w:val="28"/>
              </w:rPr>
              <w:t xml:space="preserve">24 251,79862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за счет средств: 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23 172,67669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3 921,05719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6 430,18258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7 293,26434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2 904,87258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1 50</w:t>
            </w:r>
            <w:r>
              <w:rPr>
                <w:sz w:val="28"/>
                <w:szCs w:val="28"/>
              </w:rPr>
              <w:t xml:space="preserve">7,30000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   753,00000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   604,50000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604,50000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604,50000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(по согласованию) – </w:t>
            </w:r>
            <w:r>
              <w:rPr>
                <w:color w:val="FF0000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1 079,12193</w:t>
            </w:r>
            <w:r>
              <w:rPr>
                <w:sz w:val="28"/>
                <w:szCs w:val="28"/>
              </w:rPr>
              <w:t xml:space="preserve"> тыс. рублей, из них по годам:</w:t>
            </w:r>
            <w:r/>
          </w:p>
          <w:p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0,00000 тыс. рублей;</w:t>
            </w:r>
            <w:r/>
          </w:p>
          <w:p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125,00000 тыс. рублей;</w:t>
            </w:r>
            <w:r/>
          </w:p>
          <w:p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125,00000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125,00000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130,00000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135,20000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140,60800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146,23232 тыс. рублей;</w:t>
            </w:r>
            <w:r/>
          </w:p>
          <w:p>
            <w:pPr>
              <w:pStyle w:val="75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152,08161 тыс. рублей».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одпрограммы 7 «Развитие российского казачества на территории Камчатского края»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аздел «Объемы бюджетных ассигнований Подпрограммы 7» изложить в следующей редакции:</w:t>
      </w:r>
      <w:r/>
    </w:p>
    <w:tbl>
      <w:tblPr>
        <w:tblW w:w="971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5750"/>
      </w:tblGrid>
      <w:tr>
        <w:trPr>
          <w:trHeight w:val="1599"/>
        </w:trPr>
        <w:tc>
          <w:tcPr>
            <w:tcW w:w="3969" w:type="dxa"/>
            <w:textDirection w:val="lrTb"/>
            <w:noWrap w:val="false"/>
          </w:tcPr>
          <w:p>
            <w:pPr>
              <w:pStyle w:val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  <w:r/>
          </w:p>
          <w:p>
            <w:pPr>
              <w:pStyle w:val="75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7</w:t>
            </w:r>
            <w:r/>
          </w:p>
        </w:tc>
        <w:tc>
          <w:tcPr>
            <w:tcW w:w="5750" w:type="dxa"/>
            <w:textDirection w:val="lrTb"/>
            <w:noWrap w:val="false"/>
          </w:tcPr>
          <w:p>
            <w:pPr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7 на 2017 - 2025 годы сост</w:t>
            </w:r>
            <w:r>
              <w:rPr>
                <w:sz w:val="28"/>
                <w:szCs w:val="28"/>
              </w:rPr>
              <w:t xml:space="preserve">авляет </w:t>
            </w:r>
            <w:r>
              <w:rPr>
                <w:sz w:val="28"/>
                <w:szCs w:val="28"/>
              </w:rPr>
              <w:t xml:space="preserve">28 961,43200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за счет средств: 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sz w:val="28"/>
                <w:szCs w:val="28"/>
              </w:rPr>
              <w:t xml:space="preserve">28 178,80000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2 608,80000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3 200,00000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3 090</w:t>
            </w:r>
            <w:r>
              <w:rPr>
                <w:sz w:val="28"/>
                <w:szCs w:val="28"/>
              </w:rPr>
              <w:t xml:space="preserve">,00000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000,00000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500,00000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3 750</w:t>
            </w:r>
            <w:r>
              <w:rPr>
                <w:sz w:val="28"/>
                <w:szCs w:val="28"/>
              </w:rPr>
              <w:t xml:space="preserve">,00000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3 330</w:t>
            </w:r>
            <w:r>
              <w:rPr>
                <w:sz w:val="28"/>
                <w:szCs w:val="28"/>
              </w:rPr>
              <w:t xml:space="preserve">,00000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2 350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left="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2 350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000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местных бюджетов (по согласованию) –                    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782,63200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из них по годам: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205,00000 тыс. рублей;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470,00000 тыс. рублей;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62,63200 тыс. рублей;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45,00000 тыс. рублей;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  0</w:t>
            </w:r>
            <w:r>
              <w:rPr>
                <w:sz w:val="28"/>
                <w:szCs w:val="28"/>
              </w:rPr>
              <w:t xml:space="preserve">,00000 тыс. рублей;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0,00000 </w:t>
            </w:r>
            <w:r>
              <w:rPr>
                <w:sz w:val="28"/>
                <w:szCs w:val="28"/>
              </w:rPr>
              <w:t xml:space="preserve">тыс. рублей;</w:t>
            </w:r>
            <w:r/>
          </w:p>
          <w:p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0,00000 </w:t>
            </w:r>
            <w:r>
              <w:rPr>
                <w:sz w:val="28"/>
                <w:szCs w:val="28"/>
              </w:rPr>
              <w:t xml:space="preserve">тыс. рублей».</w:t>
            </w:r>
            <w:r/>
          </w:p>
        </w:tc>
      </w:tr>
    </w:tbl>
    <w:p>
      <w:pPr>
        <w:jc w:val="both"/>
        <w:tabs>
          <w:tab w:val="left" w:pos="-439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-439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-439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6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8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nsolas">
    <w:panose1 w:val="020B0609020204030204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mbria">
    <w:panose1 w:val="020408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3.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3.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8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0" w:hanging="45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3.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isLgl w:val="false"/>
      <w:suff w:val="tab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32"/>
  </w:num>
  <w:num w:numId="5">
    <w:abstractNumId w:val="30"/>
  </w:num>
  <w:num w:numId="6">
    <w:abstractNumId w:val="25"/>
  </w:num>
  <w:num w:numId="7">
    <w:abstractNumId w:val="20"/>
  </w:num>
  <w:num w:numId="8">
    <w:abstractNumId w:val="26"/>
  </w:num>
  <w:num w:numId="9">
    <w:abstractNumId w:val="33"/>
  </w:num>
  <w:num w:numId="10">
    <w:abstractNumId w:val="27"/>
  </w:num>
  <w:num w:numId="11">
    <w:abstractNumId w:val="2"/>
  </w:num>
  <w:num w:numId="12">
    <w:abstractNumId w:val="19"/>
  </w:num>
  <w:num w:numId="13">
    <w:abstractNumId w:val="13"/>
  </w:num>
  <w:num w:numId="14">
    <w:abstractNumId w:val="15"/>
  </w:num>
  <w:num w:numId="15">
    <w:abstractNumId w:val="17"/>
    <w:lvlOverride w:ilvl="0">
      <w:startOverride w:val="2"/>
    </w:lvlOverride>
    <w:lvlOverride w:ilvl="1">
      <w:startOverride w:val="1"/>
    </w:lvlOverride>
  </w:num>
  <w:num w:numId="16">
    <w:abstractNumId w:val="11"/>
  </w:num>
  <w:num w:numId="17">
    <w:abstractNumId w:val="4"/>
  </w:num>
  <w:num w:numId="18">
    <w:abstractNumId w:val="7"/>
  </w:num>
  <w:num w:numId="19">
    <w:abstractNumId w:val="37"/>
  </w:num>
  <w:num w:numId="20">
    <w:abstractNumId w:val="35"/>
  </w:num>
  <w:num w:numId="21">
    <w:abstractNumId w:val="10"/>
  </w:num>
  <w:num w:numId="22">
    <w:abstractNumId w:val="38"/>
  </w:num>
  <w:num w:numId="23">
    <w:abstractNumId w:val="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</w:num>
  <w:num w:numId="27">
    <w:abstractNumId w:val="23"/>
  </w:num>
  <w:num w:numId="28">
    <w:abstractNumId w:val="39"/>
  </w:num>
  <w:num w:numId="29">
    <w:abstractNumId w:val="3"/>
  </w:num>
  <w:num w:numId="30">
    <w:abstractNumId w:val="36"/>
  </w:num>
  <w:num w:numId="31">
    <w:abstractNumId w:val="34"/>
  </w:num>
  <w:num w:numId="32">
    <w:abstractNumId w:val="5"/>
  </w:num>
  <w:num w:numId="33">
    <w:abstractNumId w:val="29"/>
  </w:num>
  <w:num w:numId="34">
    <w:abstractNumId w:val="12"/>
  </w:num>
  <w:num w:numId="35">
    <w:abstractNumId w:val="6"/>
  </w:num>
  <w:num w:numId="36">
    <w:abstractNumId w:val="14"/>
  </w:num>
  <w:num w:numId="37">
    <w:abstractNumId w:val="18"/>
  </w:num>
  <w:num w:numId="38">
    <w:abstractNumId w:val="28"/>
  </w:num>
  <w:num w:numId="39">
    <w:abstractNumId w:val="22"/>
  </w:num>
  <w:num w:numId="40">
    <w:abstractNumId w:val="21"/>
  </w:num>
  <w:num w:numId="41">
    <w:abstractNumId w:val="24"/>
  </w:num>
  <w:num w:numId="42">
    <w:abstractNumId w:val="3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21"/>
    <w:link w:val="71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21"/>
    <w:link w:val="719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17"/>
    <w:next w:val="71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2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2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2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21"/>
    <w:link w:val="2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21"/>
    <w:link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2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21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21"/>
    <w:link w:val="746"/>
    <w:uiPriority w:val="10"/>
    <w:rPr>
      <w:sz w:val="48"/>
      <w:szCs w:val="48"/>
    </w:rPr>
  </w:style>
  <w:style w:type="paragraph" w:styleId="34">
    <w:name w:val="Subtitle"/>
    <w:basedOn w:val="717"/>
    <w:next w:val="71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21"/>
    <w:link w:val="34"/>
    <w:uiPriority w:val="11"/>
    <w:rPr>
      <w:sz w:val="24"/>
      <w:szCs w:val="24"/>
    </w:rPr>
  </w:style>
  <w:style w:type="paragraph" w:styleId="36">
    <w:name w:val="Quote"/>
    <w:basedOn w:val="717"/>
    <w:next w:val="71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17"/>
    <w:next w:val="71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21"/>
    <w:link w:val="750"/>
    <w:uiPriority w:val="99"/>
  </w:style>
  <w:style w:type="character" w:styleId="43">
    <w:name w:val="Footer Char"/>
    <w:basedOn w:val="721"/>
    <w:link w:val="762"/>
    <w:uiPriority w:val="99"/>
  </w:style>
  <w:style w:type="paragraph" w:styleId="44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62"/>
    <w:uiPriority w:val="99"/>
  </w:style>
  <w:style w:type="table" w:styleId="47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1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21"/>
    <w:uiPriority w:val="99"/>
    <w:unhideWhenUsed/>
    <w:rPr>
      <w:vertAlign w:val="superscript"/>
    </w:rPr>
  </w:style>
  <w:style w:type="paragraph" w:styleId="176">
    <w:name w:val="endnote text"/>
    <w:basedOn w:val="71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21"/>
    <w:uiPriority w:val="99"/>
    <w:semiHidden/>
    <w:unhideWhenUsed/>
    <w:rPr>
      <w:vertAlign w:val="superscript"/>
    </w:rPr>
  </w:style>
  <w:style w:type="paragraph" w:styleId="180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718">
    <w:name w:val="Heading 1"/>
    <w:basedOn w:val="717"/>
    <w:next w:val="717"/>
    <w:link w:val="724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19">
    <w:name w:val="Heading 2"/>
    <w:basedOn w:val="717"/>
    <w:next w:val="717"/>
    <w:link w:val="725"/>
    <w:uiPriority w:val="99"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20">
    <w:name w:val="Heading 7"/>
    <w:basedOn w:val="717"/>
    <w:next w:val="717"/>
    <w:link w:val="726"/>
    <w:uiPriority w:val="99"/>
    <w:qFormat/>
    <w:pPr>
      <w:ind w:right="311"/>
      <w:keepNext/>
      <w:outlineLvl w:val="6"/>
    </w:pPr>
    <w:rPr>
      <w:szCs w:val="20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link w:val="718"/>
    <w:uiPriority w:val="99"/>
    <w:rPr>
      <w:rFonts w:ascii="Cambria" w:hAnsi="Cambria" w:cs="Times New Roman" w:eastAsia="Times New Roman"/>
      <w:b/>
      <w:bCs/>
      <w:color w:val="365F91"/>
      <w:sz w:val="28"/>
      <w:szCs w:val="28"/>
      <w:lang w:eastAsia="ru-RU"/>
    </w:rPr>
  </w:style>
  <w:style w:type="character" w:styleId="725" w:customStyle="1">
    <w:name w:val="Заголовок 2 Знак"/>
    <w:link w:val="719"/>
    <w:uiPriority w:val="99"/>
    <w:rPr>
      <w:rFonts w:ascii="Cambria" w:hAnsi="Cambria" w:cs="Times New Roman" w:eastAsia="Times New Roman"/>
      <w:b/>
      <w:bCs/>
      <w:color w:val="4F81BD"/>
      <w:sz w:val="26"/>
      <w:szCs w:val="26"/>
      <w:lang w:eastAsia="ru-RU"/>
    </w:rPr>
  </w:style>
  <w:style w:type="character" w:styleId="726" w:customStyle="1">
    <w:name w:val="Заголовок 7 Знак"/>
    <w:link w:val="720"/>
    <w:uiPriority w:val="99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727" w:customStyle="1">
    <w:name w:val="Стиль Основной текст + Times New Roman 14 пт Авто Междустр.интер..."/>
    <w:basedOn w:val="728"/>
    <w:uiPriority w:val="99"/>
    <w:pPr>
      <w:jc w:val="both"/>
      <w:spacing w:after="0"/>
    </w:pPr>
    <w:rPr>
      <w:szCs w:val="20"/>
    </w:rPr>
  </w:style>
  <w:style w:type="paragraph" w:styleId="728">
    <w:name w:val="Body Text"/>
    <w:basedOn w:val="717"/>
    <w:link w:val="729"/>
    <w:uiPriority w:val="99"/>
    <w:semiHidden/>
    <w:pPr>
      <w:spacing w:after="120"/>
    </w:pPr>
  </w:style>
  <w:style w:type="character" w:styleId="729" w:customStyle="1">
    <w:name w:val="Основной текст Знак"/>
    <w:link w:val="728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30" w:customStyle="1">
    <w:name w:val="Стиль Основной текст + Times New Roman 14 пт Авто По центру"/>
    <w:basedOn w:val="728"/>
    <w:uiPriority w:val="99"/>
    <w:pPr>
      <w:jc w:val="center"/>
      <w:spacing w:after="0"/>
    </w:pPr>
    <w:rPr>
      <w:szCs w:val="20"/>
    </w:rPr>
  </w:style>
  <w:style w:type="paragraph" w:styleId="731">
    <w:name w:val="Body Text Indent"/>
    <w:basedOn w:val="717"/>
    <w:link w:val="732"/>
    <w:uiPriority w:val="99"/>
    <w:pPr>
      <w:ind w:left="283"/>
      <w:spacing w:after="120"/>
    </w:pPr>
  </w:style>
  <w:style w:type="character" w:styleId="732" w:customStyle="1">
    <w:name w:val="Основной текст с отступом Знак"/>
    <w:link w:val="731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33">
    <w:name w:val="Body Text Indent 2"/>
    <w:basedOn w:val="717"/>
    <w:link w:val="734"/>
    <w:uiPriority w:val="99"/>
    <w:pPr>
      <w:ind w:left="283"/>
      <w:spacing w:after="120" w:line="480" w:lineRule="auto"/>
    </w:pPr>
  </w:style>
  <w:style w:type="character" w:styleId="734" w:customStyle="1">
    <w:name w:val="Основной текст с отступом 2 Знак"/>
    <w:link w:val="733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35">
    <w:name w:val="List Paragraph"/>
    <w:basedOn w:val="717"/>
    <w:uiPriority w:val="34"/>
    <w:qFormat/>
    <w:pPr>
      <w:contextualSpacing/>
      <w:ind w:left="720"/>
    </w:pPr>
  </w:style>
  <w:style w:type="paragraph" w:styleId="736" w:customStyle="1">
    <w:name w:val="Пз"/>
    <w:basedOn w:val="717"/>
    <w:uiPriority w:val="99"/>
    <w:pPr>
      <w:ind w:firstLine="284"/>
      <w:jc w:val="both"/>
    </w:pPr>
    <w:rPr>
      <w:szCs w:val="20"/>
    </w:rPr>
  </w:style>
  <w:style w:type="character" w:styleId="737" w:customStyle="1">
    <w:name w:val="Текст выноски Знак"/>
    <w:link w:val="738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738">
    <w:name w:val="Balloon Text"/>
    <w:basedOn w:val="717"/>
    <w:link w:val="737"/>
    <w:uiPriority w:val="99"/>
    <w:semiHidden/>
    <w:rPr>
      <w:rFonts w:ascii="Tahoma" w:hAnsi="Tahoma" w:cs="Tahoma"/>
      <w:sz w:val="16"/>
      <w:szCs w:val="16"/>
    </w:rPr>
  </w:style>
  <w:style w:type="paragraph" w:styleId="739" w:customStyle="1">
    <w:name w:val="PEStylePara1"/>
    <w:basedOn w:val="717"/>
    <w:next w:val="717"/>
    <w:uiPriority w:val="99"/>
    <w:pPr>
      <w:jc w:val="both"/>
    </w:pPr>
    <w:rPr>
      <w:rFonts w:ascii="Courier New" w:hAnsi="Courier New" w:eastAsia="MS Mincho"/>
      <w:sz w:val="20"/>
      <w:szCs w:val="20"/>
    </w:rPr>
  </w:style>
  <w:style w:type="paragraph" w:styleId="740">
    <w:name w:val="Normal (Web)"/>
    <w:basedOn w:val="717"/>
    <w:link w:val="772"/>
    <w:pPr>
      <w:spacing w:before="100" w:beforeAutospacing="1" w:after="100" w:afterAutospacing="1"/>
    </w:pPr>
  </w:style>
  <w:style w:type="paragraph" w:styleId="741" w:customStyle="1">
    <w:name w:val="Нормальный (таблица)"/>
    <w:basedOn w:val="717"/>
    <w:next w:val="717"/>
    <w:uiPriority w:val="99"/>
    <w:pPr>
      <w:jc w:val="both"/>
      <w:widowControl w:val="off"/>
    </w:pPr>
    <w:rPr>
      <w:rFonts w:ascii="Arial" w:hAnsi="Arial" w:cs="Arial"/>
    </w:rPr>
  </w:style>
  <w:style w:type="paragraph" w:styleId="742">
    <w:name w:val="Plain Text"/>
    <w:basedOn w:val="717"/>
    <w:link w:val="743"/>
    <w:uiPriority w:val="99"/>
    <w:rPr>
      <w:rFonts w:ascii="Consolas" w:hAnsi="Consolas"/>
      <w:sz w:val="21"/>
      <w:szCs w:val="21"/>
      <w:lang w:eastAsia="en-US"/>
    </w:rPr>
  </w:style>
  <w:style w:type="character" w:styleId="743" w:customStyle="1">
    <w:name w:val="Текст Знак"/>
    <w:link w:val="742"/>
    <w:uiPriority w:val="99"/>
    <w:rPr>
      <w:rFonts w:ascii="Consolas" w:hAnsi="Consolas" w:cs="Times New Roman" w:eastAsia="Times New Roman"/>
      <w:sz w:val="21"/>
      <w:szCs w:val="21"/>
    </w:rPr>
  </w:style>
  <w:style w:type="paragraph" w:styleId="744">
    <w:name w:val="Body Text 2"/>
    <w:basedOn w:val="717"/>
    <w:link w:val="745"/>
    <w:uiPriority w:val="99"/>
    <w:pPr>
      <w:spacing w:after="120" w:line="480" w:lineRule="auto"/>
    </w:pPr>
    <w:rPr>
      <w:sz w:val="20"/>
      <w:szCs w:val="20"/>
    </w:rPr>
  </w:style>
  <w:style w:type="character" w:styleId="745" w:customStyle="1">
    <w:name w:val="Основной текст 2 Знак"/>
    <w:link w:val="744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746">
    <w:name w:val="Title"/>
    <w:basedOn w:val="717"/>
    <w:link w:val="747"/>
    <w:uiPriority w:val="99"/>
    <w:qFormat/>
    <w:pPr>
      <w:jc w:val="center"/>
    </w:pPr>
    <w:rPr>
      <w:szCs w:val="20"/>
    </w:rPr>
  </w:style>
  <w:style w:type="character" w:styleId="747" w:customStyle="1">
    <w:name w:val="Название Знак"/>
    <w:link w:val="746"/>
    <w:uiPriority w:val="99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748">
    <w:name w:val="toc 1"/>
    <w:basedOn w:val="717"/>
    <w:next w:val="717"/>
    <w:uiPriority w:val="99"/>
    <w:semiHidden/>
    <w:pPr>
      <w:ind w:right="567"/>
      <w:spacing w:before="120"/>
      <w:tabs>
        <w:tab w:val="right" w:pos="9345" w:leader="dot"/>
      </w:tabs>
    </w:pPr>
    <w:rPr>
      <w:rFonts w:ascii="Arial" w:hAnsi="Arial"/>
      <w:b/>
      <w:bCs/>
      <w:szCs w:val="28"/>
      <w:u w:val="single"/>
    </w:rPr>
  </w:style>
  <w:style w:type="paragraph" w:styleId="749" w:customStyle="1">
    <w:name w:val="snews"/>
    <w:basedOn w:val="717"/>
    <w:uiPriority w:val="99"/>
    <w:pPr>
      <w:spacing w:before="100" w:beforeAutospacing="1" w:after="100" w:afterAutospacing="1" w:line="240" w:lineRule="atLeast"/>
    </w:pPr>
    <w:rPr>
      <w:rFonts w:ascii="Verdana" w:hAnsi="Verdana" w:cs="Arial Unicode MS"/>
      <w:color w:val="202020"/>
      <w:sz w:val="18"/>
      <w:szCs w:val="18"/>
    </w:rPr>
  </w:style>
  <w:style w:type="paragraph" w:styleId="750">
    <w:name w:val="Header"/>
    <w:basedOn w:val="717"/>
    <w:link w:val="751"/>
    <w:uiPriority w:val="99"/>
    <w:pPr>
      <w:tabs>
        <w:tab w:val="center" w:pos="4677" w:leader="none"/>
        <w:tab w:val="right" w:pos="9355" w:leader="none"/>
      </w:tabs>
    </w:pPr>
  </w:style>
  <w:style w:type="character" w:styleId="751" w:customStyle="1">
    <w:name w:val="Верхний колонтитул Знак"/>
    <w:link w:val="750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52" w:customStyle="1">
    <w:name w:val="Основной текст 21"/>
    <w:basedOn w:val="717"/>
    <w:uiPriority w:val="99"/>
    <w:pPr>
      <w:jc w:val="center"/>
    </w:pPr>
    <w:rPr>
      <w:rFonts w:ascii="Courier New" w:hAnsi="Courier New"/>
      <w:szCs w:val="20"/>
    </w:rPr>
  </w:style>
  <w:style w:type="paragraph" w:styleId="753" w:customStyle="1">
    <w:name w:val="Основной текст с отступом 21"/>
    <w:basedOn w:val="717"/>
    <w:uiPriority w:val="99"/>
    <w:pPr>
      <w:ind w:firstLine="720"/>
      <w:jc w:val="both"/>
    </w:pPr>
    <w:rPr>
      <w:rFonts w:ascii="Courier New" w:hAnsi="Courier New"/>
      <w:szCs w:val="20"/>
    </w:rPr>
  </w:style>
  <w:style w:type="paragraph" w:styleId="754" w:customStyle="1">
    <w:name w:val="caaieiaie 1"/>
    <w:basedOn w:val="717"/>
    <w:next w:val="717"/>
    <w:uiPriority w:val="99"/>
    <w:pPr>
      <w:jc w:val="both"/>
      <w:keepNext/>
    </w:pPr>
    <w:rPr>
      <w:rFonts w:ascii="Courier New" w:hAnsi="Courier New"/>
      <w:szCs w:val="20"/>
    </w:rPr>
  </w:style>
  <w:style w:type="paragraph" w:styleId="755" w:customStyle="1">
    <w:name w:val="Îáû÷íûé1"/>
    <w:uiPriority w:val="99"/>
    <w:rPr>
      <w:rFonts w:ascii="Times New Roman" w:hAnsi="Times New Roman" w:eastAsia="Times New Roman"/>
    </w:rPr>
  </w:style>
  <w:style w:type="paragraph" w:styleId="756" w:customStyle="1">
    <w:name w:val="ConsPlusNormal"/>
    <w:link w:val="775"/>
    <w:rPr>
      <w:rFonts w:ascii="Arial" w:hAnsi="Arial" w:cs="Arial" w:eastAsia="Times New Roman"/>
    </w:rPr>
  </w:style>
  <w:style w:type="paragraph" w:styleId="757" w:customStyle="1">
    <w:name w:val="ConsNormal"/>
    <w:uiPriority w:val="99"/>
    <w:pPr>
      <w:ind w:firstLine="720"/>
      <w:widowControl w:val="off"/>
    </w:pPr>
    <w:rPr>
      <w:rFonts w:ascii="Arial" w:hAnsi="Arial" w:cs="Arial" w:eastAsia="Times New Roman"/>
      <w:sz w:val="16"/>
      <w:szCs w:val="16"/>
    </w:rPr>
  </w:style>
  <w:style w:type="paragraph" w:styleId="758" w:customStyle="1">
    <w:name w:val="jst"/>
    <w:basedOn w:val="717"/>
    <w:uiPriority w:val="99"/>
    <w:pPr>
      <w:jc w:val="both"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759">
    <w:name w:val="Body Text Indent 3"/>
    <w:basedOn w:val="717"/>
    <w:link w:val="760"/>
    <w:uiPriority w:val="99"/>
    <w:pPr>
      <w:ind w:left="283"/>
      <w:spacing w:after="120"/>
    </w:pPr>
    <w:rPr>
      <w:sz w:val="16"/>
      <w:szCs w:val="16"/>
    </w:rPr>
  </w:style>
  <w:style w:type="character" w:styleId="760" w:customStyle="1">
    <w:name w:val="Основной текст с отступом 3 Знак"/>
    <w:link w:val="759"/>
    <w:uiPriority w:val="99"/>
    <w:rPr>
      <w:rFonts w:ascii="Times New Roman" w:hAnsi="Times New Roman" w:cs="Times New Roman" w:eastAsia="Times New Roman"/>
      <w:sz w:val="16"/>
      <w:szCs w:val="16"/>
      <w:lang w:eastAsia="ru-RU"/>
    </w:rPr>
  </w:style>
  <w:style w:type="character" w:styleId="761">
    <w:name w:val="Hyperlink"/>
    <w:uiPriority w:val="99"/>
    <w:semiHidden/>
    <w:rPr>
      <w:rFonts w:cs="Times New Roman"/>
      <w:color w:val="0000FF"/>
      <w:u w:val="single"/>
    </w:rPr>
  </w:style>
  <w:style w:type="paragraph" w:styleId="762">
    <w:name w:val="Footer"/>
    <w:basedOn w:val="717"/>
    <w:link w:val="763"/>
    <w:uiPriority w:val="99"/>
    <w:pPr>
      <w:tabs>
        <w:tab w:val="center" w:pos="4677" w:leader="none"/>
        <w:tab w:val="right" w:pos="9355" w:leader="none"/>
      </w:tabs>
    </w:pPr>
  </w:style>
  <w:style w:type="character" w:styleId="763" w:customStyle="1">
    <w:name w:val="Нижний колонтитул Знак"/>
    <w:link w:val="762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64" w:customStyle="1">
    <w:name w:val="Текст примечания Знак"/>
    <w:link w:val="765"/>
    <w:uiPriority w:val="99"/>
    <w:semiHidden/>
    <w:rPr>
      <w:rFonts w:ascii="Calibri" w:hAnsi="Calibri"/>
    </w:rPr>
  </w:style>
  <w:style w:type="paragraph" w:styleId="765">
    <w:name w:val="annotation text"/>
    <w:basedOn w:val="717"/>
    <w:link w:val="764"/>
    <w:uiPriority w:val="99"/>
    <w:semiHidden/>
    <w:rPr>
      <w:rFonts w:ascii="Calibri" w:hAnsi="Calibri" w:eastAsia="Calibri"/>
      <w:sz w:val="22"/>
      <w:szCs w:val="22"/>
      <w:lang w:eastAsia="en-US"/>
    </w:rPr>
  </w:style>
  <w:style w:type="character" w:styleId="766" w:customStyle="1">
    <w:name w:val="Текст примечания Знак1"/>
    <w:uiPriority w:val="99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767" w:customStyle="1">
    <w:name w:val="ConsPlusNonformat"/>
    <w:uiPriority w:val="99"/>
    <w:pPr>
      <w:widowControl w:val="off"/>
    </w:pPr>
    <w:rPr>
      <w:rFonts w:ascii="Courier New" w:hAnsi="Courier New" w:cs="Courier New" w:eastAsia="Times New Roman"/>
    </w:rPr>
  </w:style>
  <w:style w:type="paragraph" w:styleId="768" w:customStyle="1">
    <w:name w:val="ConsPlusCell"/>
    <w:uiPriority w:val="99"/>
    <w:pPr>
      <w:widowControl w:val="off"/>
    </w:pPr>
    <w:rPr>
      <w:rFonts w:cs="Calibri" w:eastAsia="Times New Roman"/>
      <w:sz w:val="22"/>
      <w:szCs w:val="22"/>
    </w:rPr>
  </w:style>
  <w:style w:type="paragraph" w:styleId="769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character" w:styleId="770" w:customStyle="1">
    <w:name w:val="Body text_"/>
    <w:link w:val="771"/>
    <w:rPr>
      <w:rFonts w:ascii="Times New Roman" w:hAnsi="Times New Roman" w:cs="Times New Roman" w:eastAsia="Times New Roman"/>
      <w:sz w:val="26"/>
      <w:szCs w:val="26"/>
      <w:shd w:val="clear" w:color="auto" w:fill="ffffff"/>
    </w:rPr>
  </w:style>
  <w:style w:type="paragraph" w:styleId="771" w:customStyle="1">
    <w:name w:val="Основной текст3"/>
    <w:basedOn w:val="717"/>
    <w:link w:val="770"/>
    <w:pPr>
      <w:ind w:hanging="2260"/>
      <w:spacing w:before="120" w:line="0" w:lineRule="atLeast"/>
      <w:shd w:val="clear" w:color="auto" w:fill="ffffff"/>
    </w:pPr>
    <w:rPr>
      <w:sz w:val="26"/>
      <w:szCs w:val="26"/>
      <w:lang w:eastAsia="en-US"/>
    </w:rPr>
  </w:style>
  <w:style w:type="character" w:styleId="772" w:customStyle="1">
    <w:name w:val="Обычный (веб) Знак1"/>
    <w:link w:val="740"/>
    <w:uiPriority w:val="99"/>
    <w:rPr>
      <w:rFonts w:ascii="Times New Roman" w:hAnsi="Times New Roman" w:eastAsia="Times New Roman"/>
      <w:sz w:val="24"/>
      <w:szCs w:val="24"/>
    </w:rPr>
  </w:style>
  <w:style w:type="paragraph" w:styleId="773" w:customStyle="1">
    <w:name w:val="Default"/>
    <w:rPr>
      <w:rFonts w:ascii="Times New Roman" w:hAnsi="Times New Roman"/>
      <w:color w:val="000000"/>
      <w:sz w:val="24"/>
      <w:szCs w:val="24"/>
    </w:rPr>
  </w:style>
  <w:style w:type="table" w:styleId="774">
    <w:name w:val="Table Grid"/>
    <w:basedOn w:val="72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5" w:customStyle="1">
    <w:name w:val="ConsPlusNormal Знак"/>
    <w:link w:val="756"/>
    <w:rPr>
      <w:rFonts w:ascii="Arial" w:hAnsi="Arial" w:cs="Arial" w:eastAsia="Times New Roman"/>
    </w:rPr>
  </w:style>
  <w:style w:type="paragraph" w:styleId="776">
    <w:name w:val="Block Text"/>
    <w:basedOn w:val="717"/>
    <w:pPr>
      <w:ind w:left="426" w:right="283" w:firstLine="425"/>
      <w:jc w:val="both"/>
    </w:pPr>
    <w:rPr>
      <w:b/>
      <w:color w:val="000080"/>
      <w:szCs w:val="20"/>
    </w:rPr>
  </w:style>
  <w:style w:type="paragraph" w:styleId="777" w:customStyle="1">
    <w:name w:val="ConsPlusTitle"/>
    <w:pPr>
      <w:widowControl w:val="off"/>
    </w:pPr>
    <w:rPr>
      <w:rFonts w:cs="Calibri" w:eastAsia="Times New Roman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CE79313-5656-4512-A470-82DC5540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Вишневский Евгений Владимирович</dc:creator>
  <cp:lastModifiedBy>Чернявский Максим Викторович</cp:lastModifiedBy>
  <cp:revision>15</cp:revision>
  <dcterms:created xsi:type="dcterms:W3CDTF">2023-01-11T22:33:00Z</dcterms:created>
  <dcterms:modified xsi:type="dcterms:W3CDTF">2023-01-25T03:55:17Z</dcterms:modified>
</cp:coreProperties>
</file>