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</w:t>
      </w:r>
      <w:r>
        <w:rPr>
          <w:rStyle w:val="Style_2_ch"/>
          <w:rFonts w:ascii="Times New Roman" w:hAnsi="Times New Roman"/>
          <w:b w:val="1"/>
          <w:sz w:val="28"/>
        </w:rPr>
        <w:t>от 08.11.2024 № 536-П «Об утверждении Порядка предоставления субсидии на финансовое обеспечение части затрат, связанных с развитием северного оленеводства в Камчатском крае, и проведения отбора получателей субсидии»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</w:t>
      </w:r>
      <w:r>
        <w:rPr>
          <w:rFonts w:ascii="Times New Roman" w:hAnsi="Times New Roman"/>
          <w:b w:val="0"/>
          <w:sz w:val="28"/>
        </w:rPr>
        <w:t xml:space="preserve">приложение к постановлению Правительства Камчатского края </w:t>
      </w:r>
      <w:r>
        <w:rPr>
          <w:rStyle w:val="Style_2_ch"/>
          <w:rFonts w:ascii="Times New Roman" w:hAnsi="Times New Roman"/>
          <w:b w:val="0"/>
          <w:sz w:val="28"/>
        </w:rPr>
        <w:t>от 08.11.2024 № 536-П «Об утверждении Порядка предоставления субсидии на финансовое обеспечение части затрат, связанных с развитием северного оленеводства в Камчатском крае, и проведения отбора получателей субсидии» изменения согласно приложению к настоящему постановлению.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Style w:val="Style_2_ch"/>
          <w:rFonts w:ascii="Times New Roman" w:hAnsi="Times New Roman"/>
          <w:b w:val="0"/>
          <w:sz w:val="28"/>
        </w:rPr>
        <w:t> </w:t>
      </w:r>
      <w:r>
        <w:rPr>
          <w:rStyle w:val="Style_2_ch"/>
          <w:rFonts w:ascii="Times New Roman" w:hAnsi="Times New Roman"/>
          <w:b w:val="0"/>
          <w:sz w:val="28"/>
        </w:rPr>
        <w:t xml:space="preserve">Настоящее постановление вступает в силу после дня его </w:t>
      </w:r>
      <w:r>
        <w:rPr>
          <w:rStyle w:val="Style_2_ch"/>
          <w:rFonts w:ascii="Times New Roman" w:hAnsi="Times New Roman"/>
          <w:b w:val="0"/>
          <w:sz w:val="28"/>
        </w:rPr>
        <w:fldChar w:fldCharType="begin"/>
      </w:r>
      <w:r>
        <w:rPr>
          <w:rStyle w:val="Style_2_ch"/>
          <w:rFonts w:ascii="Times New Roman" w:hAnsi="Times New Roman"/>
          <w:b w:val="0"/>
          <w:sz w:val="28"/>
        </w:rPr>
        <w:instrText>HYPERLINK "https://internet.garant.ru/document/redirect/410706069/0"</w:instrText>
      </w:r>
      <w:r>
        <w:rPr>
          <w:rStyle w:val="Style_2_ch"/>
          <w:rFonts w:ascii="Times New Roman" w:hAnsi="Times New Roman"/>
          <w:b w:val="0"/>
          <w:sz w:val="28"/>
        </w:rPr>
        <w:fldChar w:fldCharType="separate"/>
      </w:r>
      <w:r>
        <w:rPr>
          <w:rStyle w:val="Style_2_ch"/>
          <w:rFonts w:ascii="Times New Roman" w:hAnsi="Times New Roman"/>
          <w:b w:val="0"/>
          <w:sz w:val="28"/>
        </w:rPr>
        <w:t>официального опубликования</w:t>
      </w:r>
      <w:r>
        <w:rPr>
          <w:rStyle w:val="Style_2_ch"/>
          <w:rFonts w:ascii="Times New Roman" w:hAnsi="Times New Roman"/>
          <w:b w:val="0"/>
          <w:sz w:val="28"/>
        </w:rPr>
        <w:fldChar w:fldCharType="end"/>
      </w:r>
      <w:r>
        <w:rPr>
          <w:rStyle w:val="Style_2_ch"/>
          <w:rFonts w:ascii="Times New Roman" w:hAnsi="Times New Roman"/>
          <w:b w:val="0"/>
          <w:sz w:val="28"/>
        </w:rPr>
        <w:t>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>приложение к постановлению Правительства Камчатского края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от 08.11.2024 № 536-П «Об утверждении Порядка предоставления субсидии на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Style w:val="Style_2_ch"/>
          <w:rFonts w:ascii="Times New Roman" w:hAnsi="Times New Roman"/>
          <w:b w:val="0"/>
          <w:sz w:val="28"/>
        </w:rPr>
        <w:t>финансовое обеспечение части затрат, связанных с развитием северного оленеводства в Камчатском крае, и проведения отбора получателей субсидии»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В части 1: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1) в абзаце первом слова «в целях» заменить словами «с целью»</w:t>
      </w:r>
      <w:r>
        <w:rPr>
          <w:rFonts w:ascii="Times New Roman" w:hAnsi="Times New Roman"/>
          <w:sz w:val="28"/>
        </w:rPr>
        <w:t>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>2) в абзаце втором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, а также для получателей субсидии, применяющих упрощенную систему налогообложения» исключить.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2. Часть 6 дополнить пунктом 8 следующего содержания: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«8) </w:t>
      </w:r>
      <w:r>
        <w:rPr>
          <w:rStyle w:val="Style_2_ch"/>
          <w:rFonts w:ascii="Times New Roman" w:hAnsi="Times New Roman"/>
          <w:sz w:val="28"/>
        </w:rPr>
        <w:t>на</w:t>
      </w:r>
      <w:r>
        <w:rPr>
          <w:rStyle w:val="Style_2_ch"/>
          <w:rFonts w:ascii="Times New Roman" w:hAnsi="Times New Roman"/>
          <w:sz w:val="28"/>
        </w:rPr>
        <w:t>личие у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получателя субсидии (</w:t>
      </w:r>
      <w:r>
        <w:rPr>
          <w:rStyle w:val="Style_2_ch"/>
          <w:rFonts w:ascii="Times New Roman" w:hAnsi="Times New Roman"/>
          <w:sz w:val="28"/>
        </w:rPr>
        <w:t>участника от</w:t>
      </w:r>
      <w:r>
        <w:rPr>
          <w:rStyle w:val="Style_2_ch"/>
          <w:rFonts w:ascii="Times New Roman" w:hAnsi="Times New Roman"/>
          <w:sz w:val="28"/>
        </w:rPr>
        <w:t>бора)</w:t>
      </w:r>
      <w:r>
        <w:rPr>
          <w:rStyle w:val="Style_2_ch"/>
          <w:rFonts w:ascii="Times New Roman" w:hAnsi="Times New Roman"/>
          <w:sz w:val="28"/>
        </w:rPr>
        <w:t xml:space="preserve"> прав пользования земельными участками, на которых осуществляется или планируется осуществлять деятельность, связанную с выполнением работ по содержанию северных оленей.».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 xml:space="preserve"> В </w:t>
      </w:r>
      <w:r>
        <w:rPr>
          <w:rFonts w:ascii="Times New Roman" w:hAnsi="Times New Roman"/>
          <w:color w:val="000000"/>
          <w:spacing w:val="0"/>
          <w:sz w:val="28"/>
        </w:rPr>
        <w:t xml:space="preserve">пункте 1 </w:t>
      </w:r>
      <w:r>
        <w:rPr>
          <w:rFonts w:ascii="Times New Roman" w:hAnsi="Times New Roman"/>
          <w:color w:val="000000"/>
          <w:spacing w:val="0"/>
          <w:sz w:val="28"/>
        </w:rPr>
        <w:t>части 9: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1) подпункт «д» изложить в следующей редакции: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>«д)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обязательство по предоставлению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получения субсидии по форм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е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и в сроки, установленные приказом Министерства;»;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подпункт «е» признать утратившим силу.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4. В части 11: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1) в пункте 1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размещает проект соглашения в системе «Электронный бюджет» заменить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формирует проект соглашения и направляет его получателю субсидии посредством системы «Электронный бюджет»;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2) в пункте 2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размещения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проекта соглашения» заменить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размещения и направления проекта соглашения Министерством»;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3) в пункте 3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подписывает его со своей стороны усиленной квалифицированной электронной подписью в системе «Электронный бюджет» заменить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осуществляет проверку получателя субсидии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4) пункт 4 изложить в следующей редакции: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«4)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и межбюджетных трансфертов бюджетам бюджетной системы Российской Федерации, является днем принятия решения о предоставлении субсидии.».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5. В части 12: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1) абзац второй изложить в следующей редакции: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в системе «Электронный бюджет» и направляет его получателю субсидии посредством системы «Электронный бюджет».»;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абзац третий </w:t>
      </w:r>
      <w:r>
        <w:rPr>
          <w:rFonts w:ascii="Times New Roman" w:hAnsi="Times New Roman"/>
          <w:color w:val="000000"/>
          <w:spacing w:val="0"/>
          <w:sz w:val="28"/>
        </w:rPr>
        <w:t>изложить в следующей редакции: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Получатель субсидии в течение 10 рабочих дней со дня направления проекта соглашения, указанного в абзаце втором настоящей части,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системе «Электронный бюджет».».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6. В части 14: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1) в абзаце первом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регистрации соглашения в установленном порядке органами Федерального казначейства,» заменить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принятия решения о предоставлении субсидии,»;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2) в абзаце втором </w:t>
      </w:r>
      <w:r>
        <w:rPr>
          <w:rFonts w:ascii="Times New Roman" w:hAnsi="Times New Roman"/>
          <w:color w:val="000000"/>
          <w:spacing w:val="0"/>
          <w:sz w:val="28"/>
        </w:rPr>
        <w:t>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регистрации соглашения в установленном порядке органами Федерального казначейства» заменить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принятия по результатам рассмотрения и проверки документов, решения о предоставлении субсидии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».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7. В абзаце первом части 15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численность поголовья северных оленей (тыс. голов)» заменить словами «–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достигнута численность поголовья северных оленей и (или) поголовья маралов и (или) мясных табунн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ых лошадей (тыс. голов)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по состоянию на 31 декабря года предоставления субсидии».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8. Подпункт «б» пункта 2 части 18 дополнить абзацем четвертым следующего содержания: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сведения о движении оленепоголовья с разбивкой по производственным участкам по форме, установленной Министерством;».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9. Абзац второй части 19 изложить в следующей редакции: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Отчеты, указанные в части 18 настоящего Порядка, считаются принятыми в случае отсутствия нарушений по результатам их проверки и подписания усиленной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instrText>HYPERLINK "https://internet.garant.ru/document/redirect/12184522/54"</w:instrTex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квалифицированной электронной подписью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fldChar w:fldCharType="end"/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руководителем Министерства (уполномоченным им лицом) в системе «Электронный бюджет».».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10. Часть 20 изложить в следующей редакции: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В случае непринятия отчетов, указанных в части 18 настоящего Порядка, получатель субсидии автоматически информируется посредством системы «Электронный бюджет» об отклонении отчетов с указанием причин отклонения и сроков предоставления скорректированных отчетов.».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11. Дополнить частью 20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 xml:space="preserve"> следующего содержания: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«20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 xml:space="preserve">.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Отчеты отклоняются по следующим основаниям: </w:t>
      </w:r>
    </w:p>
    <w:p w14:paraId="59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1) некорректное заполнение (незаполнение) получателем субсидии граф, предусмотренных в отчетах;</w:t>
      </w:r>
    </w:p>
    <w:p w14:paraId="5A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2) недостоверность информации, содержащейся в отчетности;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3) непредставление (представление не в полном объеме) документов, предусмотренных подпунктом «б» пункта 2 части 18 настоящего Порядка.».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12. Часть 21 дополнить абзацем вторым следующего содержания: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В случае если получатель субсидии является субъектом микропредпринимательства в соответствии с Федеральным законом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от 24.07.2007 № 209-ФЗ «О развитии малого и среднего предпринимательства в Российской Федерации» в целях оказания государственной поддержки в соответствии со статьей 3 и пунктом 1 части 1 статьи 7 Федерального закона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от 29.12.2006 № 264-ФЗ «О развитии сельского хозяйства» Министерство осуществляет мониторинг достижения результата предоставления субсидии не реже одного раза в год.».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13. Дополнить частью 25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 xml:space="preserve"> следующего содержания: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«25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 xml:space="preserve">.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В случае наступления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невозможным, положения пункта 3 части 24 настоящего Порядка не применяются.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Перечень обстоятельств непреодолимой силы, утвержденный приказом Министерства от 12.01.2024 № 29/8 «Об утверждении Перечня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невозможным»: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1) аномальные погодные условия (атмосферная засуха, почвенная засуха, суховей, заморозки, выпревание, вымерзание, градобитие, ураганный ветер, ледяная корка, переувлажнение почвы, половодье);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2) стихийные природные явления (землетрясение, наводнение, ураган, природный пожар); 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3) обстоятельства общественной жизни: 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а) война, террористические акты, диверсии;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б) эпифитотия; 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в) вынужденный убой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 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г) падеж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 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д) пожар; 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4) установление регионального (межмуниципального) и (или) местного уровня реагирования на чрезвычайную ситуацию, подтвержденное правовым актом Правительства Камчатского края и (или) органа местного самоуправления муниципального образования в Камчатском крае; </w:t>
      </w:r>
    </w:p>
    <w:p w14:paraId="6A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5)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Правительства Кам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чатского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края.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».</w:t>
      </w:r>
    </w:p>
    <w:p w14:paraId="6B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14. В части 34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содержанием северного оленеводства» заменить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с выполнением работ по содержанию северных оленей».</w:t>
      </w:r>
    </w:p>
    <w:p w14:paraId="6C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15. В части 37:</w:t>
      </w:r>
    </w:p>
    <w:p w14:paraId="6D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1) в пункте 5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, а также характеристика результата (при ее установлении)» исключить;</w:t>
      </w:r>
    </w:p>
    <w:p w14:paraId="6E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2) в пункте 7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которым он должен соответствовать, и к документам, представляемых участником отбора для подтверждения соответствия указанным требованиям и категории получателей субсидии» заменить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оп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ределенные в соответствии с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частью 6 настоящего Порядка, и к перечню документов, представляемых участником отбора для подтверждения соответствия указанным требованиям»;</w:t>
      </w:r>
    </w:p>
    <w:p w14:paraId="6F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3) в пункте 18 слова «Министерства.» заменить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Министерства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, которые не могут быть позднее 14 ка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лендарного дня, следующего за днем определения победителя отбора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;»;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4) дополнить пунктом 19 следующего содержания: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«19)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порядок внесения изменений в объявление.».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16. Часть 38 изложить в следующей редакции: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«38.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При необходимости Министерство может принять решение о внесении изменений в объявление в порядке, аналогичном порядку формирования объявления, установленному частью 37 настоящего Порядка, при соблюдении следующих условий:</w:t>
      </w:r>
    </w:p>
    <w:p w14:paraId="7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1) срок подачи участником отбора заявки продлевается со дня, следующего за днем внесения изменений в объявление, но не менее 3 календарных дней до даты окончания приема заявок;</w:t>
      </w:r>
    </w:p>
    <w:p w14:paraId="75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2) способ отбора не изменяется;</w:t>
      </w:r>
    </w:p>
    <w:p w14:paraId="7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участника отбора внести изменения в заявку;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color w:val="000000"/>
          <w:spacing w:val="0"/>
          <w:sz w:val="28"/>
        </w:rPr>
        <w:t>4) участник отбора, подавший заявку, уведомляется о внесении изменений в объявление посредством системы «Электронный бюджет» не позднее дня, следующего за днем внесения изменений в объявление.».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17. В части 41: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1) пункт 2 после слова «объявлении» дополнить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бюджет»)»;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в </w:t>
      </w:r>
      <w:r>
        <w:rPr>
          <w:rFonts w:ascii="Times New Roman" w:hAnsi="Times New Roman"/>
          <w:color w:val="000000"/>
          <w:spacing w:val="0"/>
          <w:sz w:val="28"/>
        </w:rPr>
        <w:t xml:space="preserve">пункте 3: 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а) подпункт «г» изложить в следующей редакции: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«г)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документы, подтверждающие наличие у участника отбора прав пользования земельными участками, на которых осуществляется или планируется осуществлять деятельность, связанную с выполнением работ по содержанию северных оленей;»;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б) </w:t>
      </w:r>
      <w:r>
        <w:rPr>
          <w:rFonts w:ascii="Times New Roman" w:hAnsi="Times New Roman"/>
          <w:color w:val="000000"/>
          <w:spacing w:val="0"/>
          <w:sz w:val="28"/>
        </w:rPr>
        <w:t>подпункт «е» изложить в следующей редакции: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«е)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с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ведения о состоянии оленеводства по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instrText>HYPERLINK "https://internet.garant.ru/#/document/73389433/entry/1000"</w:instrTex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форме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fldChar w:fldCharType="end"/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федерального государственного статистического наблюдения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№ 25-СХ за год, предшествующий году предоставления субсидии, содержащие отметку о дате получения и подпись уполномоченного должностного лица Министерства (для участников отбора, осуществляющих деятельность в нескольких муниципальных образованиях в Камчатском крае одновременно, указанные сведения предоставляются с детализацией численности поголовья северных оленей в разрезе муниципальных образований в Камчатском крае)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;»;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в) </w:t>
      </w:r>
      <w:r>
        <w:rPr>
          <w:rFonts w:ascii="Times New Roman" w:hAnsi="Times New Roman"/>
          <w:color w:val="000000"/>
          <w:spacing w:val="0"/>
          <w:sz w:val="28"/>
        </w:rPr>
        <w:t>подпункт «з» изложить в следующей редакции: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«з)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с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ведения о состоянии животноводства по форме № 24-СХ либо по форме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федерального статистического наблюдения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№ 3-фермер (для участников отбора, включенных в Единый реестр малого и среднего предпринимательства по состоянию на первое число года обращения в Министерство за предоставлением субсидии) за год, предшествующий году предоставления субсидии, содержащие отметку о дате получения и подпись уполномоченного должностного лица Министерства (для участников отбора, осуществляющих деятельность в нескольких муниципальных образованиях в Камчатском крае одновременно, указанные сведения предоставляются с детализацией численности поголовья северных оленей в разрезе муниципальных образований в Камчатском крае);».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18. Часть 47 изложить в следующей редакции: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«47.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частями 39, 41 и 42 настоящего Порядка. При этом ранее поданная заявка считается отозванной.».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19. Дополнить частью 47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 xml:space="preserve"> следующего содержания: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«47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 xml:space="preserve">.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Участник отбора, подавший заявку, вправе отозвать заявку с соблюдением требований, установленных настоящим Порядком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,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в срок не позднее дня окончания срока приема заявок путем отзыва заявки в системе «Электронный бюджет»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.».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20. Часть 51 изложить в следующей редакции: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«51.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рассмотрения.».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21. Дополнить частью 51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 xml:space="preserve"> следующего содержания: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«51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 xml:space="preserve">.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1 рабочего дня, следующего за днем его подписания.».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22. Часть 53 признать утратившей силу.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23. Пункт 1 части 57 изложить в следующей редакции: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«1)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несоответствие участника отбора требованиям, категории и критерию, указанным в частях 6, 34 и 35 настоящего Порядка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;».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24. В части 64 слова «в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системе «Электронный бюджет» заменить словами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в системе «Электронный бюджет»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отбора.».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25. В абзаце втором части 67 слова «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, но не выше размера, указанного им в заявке» исключить.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26. Часть 69 изложить в следующей редакции: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«69.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В случае обнаружения технической ошибки (опечатки) в протокол подведения итогов отбора могут быть внесены изменения не позднее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10 календарных дней со дня подписания первой версии протокола подведения итогов отбора путем формирования нов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ой версии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указанного протокола с указанием причин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ы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 xml:space="preserve"> внесения изменений</w:t>
      </w:r>
      <w:r>
        <w:rPr>
          <w:rStyle w:val="Style_2_ch"/>
          <w:rFonts w:ascii="Times New Roman" w:hAnsi="Times New Roman"/>
          <w:color w:val="000000"/>
          <w:spacing w:val="0"/>
          <w:sz w:val="28"/>
        </w:rPr>
        <w:t>.».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27. В графе 2 таблицы приложения слово «Наличие» заменить словами «Численность поголовья».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2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2_ch"/>
    <w:link w:val="Style_9"/>
    <w:rPr>
      <w:rFonts w:ascii="Calibri" w:hAnsi="Calibri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2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2_ch"/>
    <w:link w:val="Style_21"/>
    <w:rPr>
      <w:rFonts w:ascii="Segoe UI" w:hAnsi="Segoe UI"/>
      <w:sz w:val="1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header"/>
    <w:basedOn w:val="Style_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2_ch"/>
    <w:link w:val="Style_25"/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Гиперссылка1"/>
    <w:basedOn w:val="Style_23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23_ch"/>
    <w:link w:val="Style_31"/>
    <w:rPr>
      <w:color w:themeColor="hyperlink" w:val="0563C1"/>
      <w:u w:val="single"/>
    </w:r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2024-12-24T01:02:13Z</dcterms:modified>
</cp:coreProperties>
</file>