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ОБЪЯВЛЕНИЕ ОБ ОТБОРЕ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целях предоставления субсидии </w:t>
      </w:r>
    </w:p>
    <w:p w:rsidR="004118C5" w:rsidRDefault="001A4EE6">
      <w:pPr>
        <w:jc w:val="center"/>
        <w:rPr>
          <w:rFonts w:ascii="Times New Roman" w:hAnsi="Times New Roman"/>
          <w:b/>
        </w:rPr>
      </w:pPr>
      <w:r>
        <w:t xml:space="preserve"> сельскохозяйственным товаропроизводителям пропашных и кормовых культур на возмещение части затрат на фитосанитарный мониторинг посевных площадей</w:t>
      </w:r>
    </w:p>
    <w:p w:rsidR="004118C5" w:rsidRDefault="004118C5">
      <w:pPr>
        <w:jc w:val="center"/>
        <w:rPr>
          <w:rFonts w:ascii="Times New Roman" w:hAnsi="Times New Roman"/>
        </w:rPr>
      </w:pPr>
    </w:p>
    <w:p w:rsidR="004118C5" w:rsidRDefault="001A4EE6">
      <w:pPr>
        <w:ind w:firstLine="709"/>
        <w:rPr>
          <w:rStyle w:val="1b"/>
          <w:rFonts w:ascii="Times New Roman" w:hAnsi="Times New Roman"/>
        </w:rPr>
      </w:pPr>
      <w:r>
        <w:rPr>
          <w:rStyle w:val="1b"/>
          <w:rFonts w:ascii="Times New Roman" w:hAnsi="Times New Roman"/>
        </w:rPr>
        <w:t xml:space="preserve">Министерство сельского хозяйства, пищевой и перерабатывающей промышленности Камчатского края (далее – Министерство) объявляет о начале приема заявок на отбор в соответствии с Порядком предоставления субсидии </w:t>
      </w:r>
      <w:r>
        <w:t>сельскохозяйственным товаропроизводителям пропашных и кормовых культур на возмещение части затрат на фитосанитарный мониторинг посевных площадей и проведения отбора получателей субсидии,</w:t>
      </w:r>
      <w:r>
        <w:rPr>
          <w:rStyle w:val="1b"/>
          <w:rFonts w:ascii="Times New Roman" w:hAnsi="Times New Roman"/>
        </w:rPr>
        <w:t xml:space="preserve"> утвержденным постановлением Правительства Камчатского края от 23.09.2022  </w:t>
      </w:r>
    </w:p>
    <w:p w:rsidR="004118C5" w:rsidRDefault="001A4EE6">
      <w:pPr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№ 496-П (далее – Порядок).</w:t>
      </w:r>
    </w:p>
    <w:p w:rsidR="00831D70" w:rsidRDefault="00831D70">
      <w:pPr>
        <w:ind w:firstLine="709"/>
        <w:rPr>
          <w:rStyle w:val="1b"/>
          <w:rFonts w:ascii="Times New Roman" w:hAnsi="Times New Roman"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 xml:space="preserve">Порядок размещен на официальном сайте исполнительных органов Камчатского края, странице Министерства в информационно-телекоммуникационной сети «Интернет» </w:t>
      </w:r>
      <w:hyperlink r:id="rId4" w:history="1">
        <w:r>
          <w:rPr>
            <w:rStyle w:val="1b"/>
            <w:rFonts w:ascii="Times New Roman" w:hAnsi="Times New Roman"/>
          </w:rPr>
          <w:t>https://www.kamgov.ru/minselhoz</w:t>
        </w:r>
      </w:hyperlink>
      <w:r>
        <w:rPr>
          <w:rStyle w:val="1b"/>
          <w:rFonts w:ascii="Times New Roman" w:hAnsi="Times New Roman"/>
        </w:rPr>
        <w:t>, «Государственная поддержка» – «Меры поддержки»</w:t>
      </w:r>
    </w:p>
    <w:p w:rsidR="004118C5" w:rsidRDefault="001A4EE6">
      <w:pPr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https://www.kamgov.ru/minselhoz/current_activities/StateSupport/SupportMeasures.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Срок проведения отбора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323C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1A4EE6">
        <w:rPr>
          <w:rFonts w:ascii="Times New Roman" w:hAnsi="Times New Roman"/>
        </w:rPr>
        <w:t xml:space="preserve"> календарных дней.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Способ отбора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Для проведения отбора применяется способ отбора в виде запроса предложений.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Дата и время начала подачи и окончания приема заявок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B21DF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09.12.2024 9:00 – 18.12</w:t>
      </w:r>
      <w:r w:rsidR="001A4EE6">
        <w:rPr>
          <w:rFonts w:ascii="Times New Roman" w:hAnsi="Times New Roman"/>
        </w:rPr>
        <w:t xml:space="preserve">.2024 17:15. 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Style w:val="1b"/>
          <w:rFonts w:ascii="Times New Roman" w:hAnsi="Times New Roman"/>
          <w:b/>
        </w:rPr>
        <w:t xml:space="preserve"> Наименование, место нахождения, почтовый адрес, адрес электронной почты Министерства</w:t>
      </w:r>
    </w:p>
    <w:p w:rsidR="004118C5" w:rsidRDefault="004118C5">
      <w:pPr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Министерство сельского хозяйства, пищевой и перерабатывающей промышленности Камчатского края.</w:t>
      </w:r>
      <w:r>
        <w:t xml:space="preserve"> 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683024, Камчатский край, </w:t>
      </w:r>
      <w:r>
        <w:br/>
      </w:r>
      <w:r>
        <w:rPr>
          <w:rStyle w:val="1b"/>
          <w:rFonts w:ascii="Times New Roman" w:hAnsi="Times New Roman"/>
        </w:rPr>
        <w:t>г. Петропавловск-Камчатский, ул. Владивостокская, д. 2/1.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minselhoz@kamgov.ru.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ответственного сотрудника: Вострухина Ольга Владимировна 8 (4152) 229-800 доб. 1843</w:t>
      </w:r>
    </w:p>
    <w:p w:rsidR="004118C5" w:rsidRDefault="004118C5">
      <w:pPr>
        <w:ind w:firstLine="709"/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Style w:val="1b"/>
          <w:rFonts w:ascii="Times New Roman" w:hAnsi="Times New Roman"/>
          <w:b/>
        </w:rPr>
        <w:t>Результат предоставления субсидии</w:t>
      </w:r>
    </w:p>
    <w:p w:rsidR="004118C5" w:rsidRDefault="004118C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418"/>
        <w:gridCol w:w="2190"/>
        <w:gridCol w:w="1159"/>
        <w:gridCol w:w="1612"/>
      </w:tblGrid>
      <w:tr w:rsidR="004118C5">
        <w:trPr>
          <w:trHeight w:val="3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</w:t>
            </w:r>
          </w:p>
          <w:p w:rsidR="004118C5" w:rsidRDefault="00411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 w:rsidR="004118C5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4118C5"/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4118C5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4118C5"/>
        </w:tc>
      </w:tr>
      <w:tr w:rsidR="004118C5">
        <w:trPr>
          <w:trHeight w:val="9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Является количество проведенных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достижении значений результата</w:t>
            </w:r>
          </w:p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(1ед.)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B21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3 рабочих дней со дня заключения соглашения</w:t>
            </w:r>
          </w:p>
          <w:p w:rsidR="004118C5" w:rsidRDefault="004118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Доменное имя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https://www.kamgov.ru/minselhoz/current_activities/StateSupport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Требования к участникам отбора 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 должен соответствовать следующим требованиям на первое число месяца подачи документов на участие в отборе: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0" w:name="anchor191"/>
      <w:bookmarkEnd w:id="0"/>
      <w:r>
        <w:rPr>
          <w:rFonts w:ascii="Times New Roman" w:hAnsi="Times New Roman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>
          <w:rPr>
            <w:rFonts w:ascii="Times New Roman" w:hAnsi="Times New Roman"/>
          </w:rPr>
          <w:t>перечень</w:t>
        </w:r>
      </w:hyperlink>
      <w:r>
        <w:rPr>
          <w:rFonts w:ascii="Times New Roman" w:hAnsi="Times New Roma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" w:name="anchor192"/>
      <w:bookmarkEnd w:id="1"/>
      <w:r>
        <w:rPr>
          <w:rFonts w:ascii="Times New Roman" w:hAnsi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2" w:name="anchor193"/>
      <w:bookmarkEnd w:id="2"/>
      <w:r>
        <w:rPr>
          <w:rFonts w:ascii="Times New Roman" w:hAnsi="Times New Roman"/>
        </w:rPr>
        <w:t xml:space="preserve">3) участник отбора не находится в составляемых в рамках реализации полномочий, предусмотренных </w:t>
      </w:r>
      <w:hyperlink r:id="rId6" w:history="1">
        <w:r>
          <w:rPr>
            <w:rFonts w:ascii="Times New Roman" w:hAnsi="Times New Roman"/>
          </w:rPr>
          <w:t>главой VII</w:t>
        </w:r>
      </w:hyperlink>
      <w:r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3" w:name="anchor194"/>
      <w:bookmarkEnd w:id="3"/>
      <w:r>
        <w:rPr>
          <w:rFonts w:ascii="Times New Roman" w:hAnsi="Times New Roman"/>
        </w:rPr>
        <w:lastRenderedPageBreak/>
        <w:t>4) участник отбора не получает средства из краевого бюджета на основании иных нормативных правовых актов Камчатского края на цель, установленную настоящим Порядком;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4" w:name="anchor195"/>
      <w:bookmarkEnd w:id="4"/>
      <w:r>
        <w:rPr>
          <w:rFonts w:ascii="Times New Roman" w:hAnsi="Times New Roman"/>
        </w:rPr>
        <w:t xml:space="preserve">5) участник отбора не является иностранным агентом в соответствии с </w:t>
      </w:r>
      <w:hyperlink r:id="rId7" w:history="1">
        <w:r>
          <w:rPr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/>
        </w:rPr>
        <w:t xml:space="preserve"> от 14.07.2022 N 255-ФЗ "О контроле за деятельностью лиц, находящихся под иностранным влиянием";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5" w:name="anchor196"/>
      <w:bookmarkEnd w:id="5"/>
      <w:r>
        <w:rPr>
          <w:rFonts w:ascii="Times New Roman" w:hAnsi="Times New Roman"/>
        </w:rPr>
        <w:t>6) 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 xml:space="preserve">8. Перечень документов, предоставляемых для </w:t>
      </w: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подтверждения соответствия требованиям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Справка, оформленная в произвольной форме, подтверждающая соответствие участника отбора требованиям, установленным частью 6 Порядка.</w:t>
      </w:r>
      <w:r>
        <w:rPr>
          <w:rFonts w:ascii="Times New Roman" w:hAnsi="Times New Roman"/>
        </w:rPr>
        <w:t xml:space="preserve"> представляет справку в произвольной форме одновременно с подачей заявки на участие в отборе.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  <w:r>
        <w:rPr>
          <w:rStyle w:val="1b"/>
          <w:rFonts w:ascii="Times New Roman" w:hAnsi="Times New Roman"/>
          <w:b/>
        </w:rPr>
        <w:t xml:space="preserve"> Категории и (или) критерии отбора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ind w:firstLine="709"/>
        <w:rPr>
          <w:rStyle w:val="1b"/>
          <w:rFonts w:ascii="Times New Roman" w:hAnsi="Times New Roman"/>
        </w:rPr>
      </w:pPr>
      <w:r>
        <w:rPr>
          <w:rStyle w:val="1b"/>
          <w:rFonts w:ascii="Times New Roman" w:hAnsi="Times New Roman"/>
        </w:rPr>
        <w:t>К категории отбора относятся 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товаропроизводителями в соответствии со статьей 3 Федерального закона от 29.12.2006 N 264-ФЗ «О развитии сельского хозяйства» осуществляющие производство сельскохозяйственной продукции, ее первичную и последующую (промышленную) переработку.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</w:t>
      </w:r>
      <w:r>
        <w:rPr>
          <w:rStyle w:val="1b"/>
          <w:rFonts w:ascii="Times New Roman" w:hAnsi="Times New Roman"/>
          <w:b/>
        </w:rPr>
        <w:t xml:space="preserve">Порядок подачи заявок и требования, предъявляемые </w:t>
      </w: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к форме и содержанию заявок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 согласно приложению к Порядку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заявку).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Заявка содержит следующие сведения и документы: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1)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Госпрограммы в году, предшествующем году обращения за предоставлением субсидии);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lastRenderedPageBreak/>
        <w:t>2) копии документов, подтверждающие права собственности (пользования) на земельные участки сельскохозяйственного назначения и (или) сельскохозяйственного использования;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3) копии документов (договоров, расчета стоимости работ (смету затрат), счетов, счетов-фактур, накладных, платежных документов, актов приема-передачи, универсальных передаточных документов и (или) других документов), подтверждающих фактически произведенные затраты за истекший период текущего финансового года (заявленный период), указанные в части 5 Порядка, связанные с выполнением работ по фитосанитарному мониторингу посевных площадей, связанных с производством пропашных и кормовых культур;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4) копию отчета о проведении работ по фитосанитарному мониторингу посевных площадей, связанных с производством пропашных и кормовых культур в произвольной форме;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5) сведения о сборе урожая сельскохозяйственных культур по формам федерального государственного статистического наблюдения № 29-СХ (для сельскохозяйственных организаций) и (или) № 2-фермер (для ИП, К(Ф)Х, юридических лиц - субъектов малого предпринимательства) за год получения субсидии;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6) согласие на обработку персональных данных в отношении руководителей участников отборов по форме, установленной Министерством;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7)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8) 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9)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выдачи указанного документа не должна быть ранее 30 календарных дней до дня подачи заявки;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10) справку, подтверждающую соответствие получателя субсидии (участника отбора) требованиям, указанным в части 6 настоящего Порядка (оформляется в произвольной форме).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Все копии документов, указанных в частях 36 и 37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 xml:space="preserve">Документы, выполненные рукописным способом, заполняются на русском языке разборчивым почерком или печатными буквами чернилами синего либо </w:t>
      </w:r>
      <w:r w:rsidRPr="00B21DF2">
        <w:rPr>
          <w:rFonts w:ascii="Times New Roman" w:hAnsi="Times New Roman"/>
        </w:rPr>
        <w:lastRenderedPageBreak/>
        <w:t>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 (например, ИП, ООО, АО и так далее).</w:t>
      </w:r>
    </w:p>
    <w:p w:rsidR="004118C5" w:rsidRPr="00B21DF2" w:rsidRDefault="001A4EE6">
      <w:pPr>
        <w:ind w:firstLine="709"/>
        <w:rPr>
          <w:rFonts w:ascii="Times New Roman" w:hAnsi="Times New Roman"/>
        </w:rPr>
      </w:pPr>
      <w:r w:rsidRPr="00B21DF2">
        <w:rPr>
          <w:rFonts w:ascii="Times New Roman" w:hAnsi="Times New Roman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4118C5" w:rsidRDefault="001A4EE6">
      <w:pPr>
        <w:rPr>
          <w:rFonts w:ascii="Times New Roman" w:hAnsi="Times New Roman"/>
        </w:rPr>
      </w:pPr>
      <w:r w:rsidRPr="00B21DF2">
        <w:tab/>
      </w:r>
      <w:r w:rsidRPr="00B21DF2">
        <w:rPr>
          <w:rStyle w:val="1b"/>
          <w:rFonts w:ascii="Times New Roman" w:hAnsi="Times New Roman"/>
        </w:rPr>
        <w:t xml:space="preserve">Формы документов в редактируемом формате размещены на официальном сайте исполнительных органов Камчатского края, странице Министерства в информационно-телекоммуникационной сети «Интернет» </w:t>
      </w:r>
      <w:hyperlink r:id="rId8" w:history="1">
        <w:r w:rsidRPr="00B21DF2">
          <w:rPr>
            <w:rStyle w:val="1b"/>
            <w:rFonts w:ascii="Times New Roman" w:hAnsi="Times New Roman"/>
          </w:rPr>
          <w:t>https://www.kamgov.ru/minselhoz</w:t>
        </w:r>
      </w:hyperlink>
      <w:r w:rsidRPr="00B21DF2">
        <w:rPr>
          <w:rStyle w:val="1b"/>
          <w:rFonts w:ascii="Times New Roman" w:hAnsi="Times New Roman"/>
        </w:rPr>
        <w:t xml:space="preserve">, «Государственная поддержка» – «Формы документов для участия в отборе и получения субсидии». </w:t>
      </w:r>
      <w:hyperlink r:id="rId9" w:history="1">
        <w:r w:rsidRPr="00B21DF2">
          <w:rPr>
            <w:rStyle w:val="1b"/>
            <w:rFonts w:ascii="Times New Roman" w:hAnsi="Times New Roman"/>
          </w:rPr>
          <w:t>https://www.kamgov.ru/minselhoz/current_activities/StateSupport/FormsDocumentsSubsidies.</w:t>
        </w:r>
      </w:hyperlink>
      <w:r>
        <w:rPr>
          <w:rStyle w:val="1b"/>
          <w:rFonts w:ascii="Times New Roman" w:hAnsi="Times New Roman"/>
        </w:rPr>
        <w:t xml:space="preserve"> </w:t>
      </w:r>
    </w:p>
    <w:p w:rsidR="004118C5" w:rsidRDefault="004118C5">
      <w:pPr>
        <w:rPr>
          <w:rFonts w:ascii="Times New Roman" w:hAnsi="Times New Roman"/>
        </w:rPr>
      </w:pP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11.</w:t>
      </w:r>
      <w:r>
        <w:rPr>
          <w:rStyle w:val="1b"/>
          <w:rFonts w:ascii="Times New Roman" w:hAnsi="Times New Roman"/>
          <w:b/>
        </w:rPr>
        <w:t xml:space="preserve"> Порядок отзыва заявок, порядок их возврата, </w:t>
      </w: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определяющий в том числе основания для возврата заявок, порядок внесения изменений в заявки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Участник отбора, подавший заявку, вправе отозвать заявку с соблюдением требований, установленных Порядком.</w:t>
      </w:r>
    </w:p>
    <w:p w:rsidR="004118C5" w:rsidRDefault="001A4EE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отбора.</w:t>
      </w:r>
    </w:p>
    <w:p w:rsidR="004118C5" w:rsidRDefault="001A4EE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Внесение изменений в заявку осуществляется путем направления посредством почтового отправления или нарочно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осуществляется участником отбора в порядке, аналогичном порядку формирования заявки участником отбора, указанному в части 36 настоящего Порядка.</w:t>
      </w:r>
    </w:p>
    <w:p w:rsidR="004118C5" w:rsidRDefault="004118C5">
      <w:pPr>
        <w:ind w:firstLine="709"/>
        <w:rPr>
          <w:rFonts w:ascii="Times New Roman" w:hAnsi="Times New Roman"/>
        </w:rPr>
      </w:pP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12. П</w:t>
      </w:r>
      <w:r>
        <w:rPr>
          <w:rStyle w:val="1b"/>
          <w:rFonts w:ascii="Times New Roman" w:hAnsi="Times New Roman"/>
          <w:b/>
        </w:rPr>
        <w:t>равила рассмотрения и оценки заявок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в течение 15 рабочих дней с даты окончания приема заявок осуществляет проверку участника отбора на соответствие требованиям, установленным частью 6 настоящего Порядка, категории, указанной в части 32 настоящего Порядка, устанавливает полноту и достоверность сведений, </w:t>
      </w:r>
      <w:r>
        <w:rPr>
          <w:rFonts w:ascii="Times New Roman" w:hAnsi="Times New Roman"/>
        </w:rPr>
        <w:lastRenderedPageBreak/>
        <w:t>содержащихся в прилагаемых к заявке документах, а также запрашивает в отношении участника отбора: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в соответствии с </w:t>
      </w:r>
      <w:hyperlink w:anchor="anchor191" w:history="1">
        <w:r>
          <w:rPr>
            <w:rFonts w:ascii="Times New Roman" w:hAnsi="Times New Roman"/>
          </w:rPr>
          <w:t>пунктом 1 части 6</w:t>
        </w:r>
      </w:hyperlink>
      <w:r>
        <w:rPr>
          <w:rFonts w:ascii="Times New Roman" w:hAnsi="Times New Roman"/>
        </w:rPr>
        <w:t xml:space="preserve"> настоящего Порядка сведения из Единого государственного реестра юридических лиц (индивидуальных предпринимателей)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 соответствии с </w:t>
      </w:r>
      <w:hyperlink w:anchor="anchor192" w:history="1">
        <w:r>
          <w:rPr>
            <w:rFonts w:ascii="Times New Roman" w:hAnsi="Times New Roman"/>
          </w:rPr>
          <w:t>пунктом 2 части 6</w:t>
        </w:r>
      </w:hyperlink>
      <w:r>
        <w:rPr>
          <w:rFonts w:ascii="Times New Roman" w:hAnsi="Times New Roman"/>
        </w:rPr>
        <w:t xml:space="preserve"> настоящего Порядка сведения на </w:t>
      </w:r>
      <w:hyperlink r:id="rId10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Росфинмониторинга</w:t>
      </w:r>
      <w:proofErr w:type="spellEnd"/>
      <w:r>
        <w:rPr>
          <w:rFonts w:ascii="Times New Roman" w:hAnsi="Times New Roman"/>
        </w:rPr>
        <w:t xml:space="preserve"> на странице "Перечень организаций и физических лиц, в отношении которых имеются сведения об их причастности к экстремистской деятельности или терроризму";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соответствии с </w:t>
      </w:r>
      <w:hyperlink w:anchor="anchor193" w:history="1">
        <w:r>
          <w:rPr>
            <w:rFonts w:ascii="Times New Roman" w:hAnsi="Times New Roman"/>
          </w:rPr>
          <w:t>пунктом 3 части 6</w:t>
        </w:r>
      </w:hyperlink>
      <w:r>
        <w:rPr>
          <w:rFonts w:ascii="Times New Roman" w:hAnsi="Times New Roman"/>
        </w:rPr>
        <w:t xml:space="preserve"> настоящего Порядка сведения на </w:t>
      </w:r>
      <w:hyperlink r:id="rId11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Росфинмониторинга</w:t>
      </w:r>
      <w:proofErr w:type="spellEnd"/>
      <w:r>
        <w:rPr>
          <w:rFonts w:ascii="Times New Roman" w:hAnsi="Times New Roman"/>
        </w:rPr>
        <w:t xml:space="preserve"> на странице "Перечни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ООН";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в соответствии с </w:t>
      </w:r>
      <w:hyperlink w:anchor="anchor194" w:history="1">
        <w:r>
          <w:rPr>
            <w:rFonts w:ascii="Times New Roman" w:hAnsi="Times New Roman"/>
          </w:rPr>
          <w:t>пунктом 4 части 6</w:t>
        </w:r>
      </w:hyperlink>
      <w:r>
        <w:rPr>
          <w:rFonts w:ascii="Times New Roman" w:hAnsi="Times New Roman"/>
        </w:rPr>
        <w:t xml:space="preserve"> настоящего Порядка сведения в исполнительных органах Камчатского края;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в соответствии с </w:t>
      </w:r>
      <w:hyperlink w:anchor="anchor195" w:history="1">
        <w:r>
          <w:rPr>
            <w:rFonts w:ascii="Times New Roman" w:hAnsi="Times New Roman"/>
          </w:rPr>
          <w:t>пунктом 5 части 6</w:t>
        </w:r>
      </w:hyperlink>
      <w:r>
        <w:rPr>
          <w:rFonts w:ascii="Times New Roman" w:hAnsi="Times New Roman"/>
        </w:rPr>
        <w:t xml:space="preserve"> настоящего Порядка сведения на </w:t>
      </w:r>
      <w:hyperlink r:id="rId12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Министерства юстиции Российской Федерации на странице "Реестр иностранных агентов";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в соответствии с </w:t>
      </w:r>
      <w:hyperlink w:anchor="anchor196" w:history="1">
        <w:r>
          <w:rPr>
            <w:rFonts w:ascii="Times New Roman" w:hAnsi="Times New Roman"/>
          </w:rPr>
          <w:t>пунктом 6 части 6</w:t>
        </w:r>
      </w:hyperlink>
      <w:r>
        <w:rPr>
          <w:rFonts w:ascii="Times New Roman" w:hAnsi="Times New Roman"/>
        </w:rPr>
        <w:t xml:space="preserve"> настоящего Порядка сведения в исполнительных органах Камчатского края.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6" w:name="anchor1124"/>
      <w:bookmarkEnd w:id="6"/>
      <w:r>
        <w:rPr>
          <w:rFonts w:ascii="Times New Roman" w:hAnsi="Times New Roman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4118C5" w:rsidRDefault="004118C5">
      <w:pPr>
        <w:tabs>
          <w:tab w:val="left" w:pos="765"/>
        </w:tabs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ab/>
      </w:r>
      <w:r>
        <w:rPr>
          <w:rStyle w:val="1b"/>
          <w:rFonts w:ascii="Times New Roman" w:hAnsi="Times New Roman"/>
          <w:b/>
        </w:rPr>
        <w:tab/>
        <w:t>13. Порядок возврата заявок на доработку</w:t>
      </w:r>
    </w:p>
    <w:p w:rsidR="004118C5" w:rsidRDefault="004118C5">
      <w:pPr>
        <w:ind w:firstLine="709"/>
        <w:rPr>
          <w:rStyle w:val="1b"/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направления в их адрес посредством электронной связи, почтового отправления, нарочно или иным способом, обеспечивающим подтверждение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 Любой участник отбора со дня размещения объявления на </w:t>
      </w:r>
      <w:hyperlink r:id="rId13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</w:t>
      </w:r>
      <w:hyperlink r:id="rId14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14. П</w:t>
      </w:r>
      <w:r>
        <w:rPr>
          <w:rStyle w:val="1b"/>
          <w:rFonts w:ascii="Times New Roman" w:hAnsi="Times New Roman"/>
          <w:b/>
        </w:rPr>
        <w:t xml:space="preserve">орядок отклонения заявок, а также информация </w:t>
      </w:r>
    </w:p>
    <w:p w:rsidR="004118C5" w:rsidRDefault="001A4EE6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об основаниях их отклонения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7" w:name="anchor491"/>
      <w:bookmarkEnd w:id="7"/>
      <w:r>
        <w:rPr>
          <w:rFonts w:ascii="Times New Roman" w:hAnsi="Times New Roman"/>
        </w:rPr>
        <w:t>1) несоответствие участника отбора требованиям, категории, указанным в объявлении;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8" w:name="anchor492"/>
      <w:bookmarkEnd w:id="8"/>
      <w:r>
        <w:rPr>
          <w:rFonts w:ascii="Times New Roman" w:hAnsi="Times New Roman"/>
        </w:rPr>
        <w:t>2) непредставление (представление не в полном объеме) документов, указанных в объявлении;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9" w:name="anchor493"/>
      <w:bookmarkEnd w:id="9"/>
      <w:r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0" w:name="anchor494"/>
      <w:bookmarkEnd w:id="10"/>
      <w:r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1" w:name="anchor495"/>
      <w:bookmarkEnd w:id="11"/>
      <w:r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заявок;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2" w:name="anchor496"/>
      <w:bookmarkEnd w:id="12"/>
      <w:r>
        <w:rPr>
          <w:rFonts w:ascii="Times New Roman" w:hAnsi="Times New Roman"/>
        </w:rPr>
        <w:t>6) 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4118C5">
      <w:pPr>
        <w:ind w:firstLine="709"/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15.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2"/>
      </w:tblGrid>
      <w:tr w:rsidR="004118C5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4118C5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Default="001A4E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C5" w:rsidRPr="00241331" w:rsidRDefault="0024133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310 477,</w:t>
            </w:r>
            <w:bookmarkStart w:id="13" w:name="_GoBack"/>
            <w:bookmarkEnd w:id="13"/>
            <w:r>
              <w:rPr>
                <w:rFonts w:ascii="Times New Roman" w:hAnsi="Times New Roman"/>
                <w:sz w:val="24"/>
                <w:lang w:val="en-US"/>
              </w:rPr>
              <w:t>53</w:t>
            </w:r>
          </w:p>
        </w:tc>
      </w:tr>
    </w:tbl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Расчет размера субсидии осуществляется по следующей формуле:</w:t>
      </w:r>
    </w:p>
    <w:p w:rsidR="004118C5" w:rsidRDefault="004118C5">
      <w:pPr>
        <w:ind w:firstLine="720"/>
        <w:rPr>
          <w:rFonts w:ascii="Times New Roman" w:hAnsi="Times New Roman"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С=СТ </w:t>
      </w:r>
      <w:r>
        <w:rPr>
          <w:rFonts w:ascii="Times New Roman" w:hAnsi="Times New Roman"/>
          <w:noProof/>
        </w:rPr>
        <w:drawing>
          <wp:inline distT="0" distB="0" distL="0" distR="0">
            <wp:extent cx="108000" cy="18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</w:rPr>
        <w:t>Мпр</w:t>
      </w:r>
      <w:proofErr w:type="spellEnd"/>
      <w:r>
        <w:rPr>
          <w:rFonts w:ascii="Times New Roman" w:hAnsi="Times New Roman"/>
        </w:rPr>
        <w:t>, где:</w:t>
      </w:r>
    </w:p>
    <w:p w:rsidR="004118C5" w:rsidRDefault="004118C5">
      <w:pPr>
        <w:ind w:firstLine="720"/>
        <w:rPr>
          <w:rFonts w:ascii="Times New Roman" w:hAnsi="Times New Roman"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- размер субсидии, не превышающий объема фактически произведенных затрат по направлениям затрат, указанных в части 5 настоящего Порядка, согласно </w:t>
      </w:r>
      <w:r>
        <w:rPr>
          <w:rFonts w:ascii="Times New Roman" w:hAnsi="Times New Roman"/>
        </w:rPr>
        <w:lastRenderedPageBreak/>
        <w:t>представленным документам, с учетом положений части 1 настоящего Порядка, рублей;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СТ - ставка субсидии составляет 90 процентов от фактически произведенных затрат, указанных в части 5 настоящего Порядка;</w:t>
      </w:r>
    </w:p>
    <w:p w:rsidR="004118C5" w:rsidRDefault="001A4EE6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Мпр</w:t>
      </w:r>
      <w:proofErr w:type="spellEnd"/>
      <w:r>
        <w:rPr>
          <w:rFonts w:ascii="Times New Roman" w:hAnsi="Times New Roman"/>
        </w:rPr>
        <w:t xml:space="preserve"> - объем всех фактически произведенных затрат на фитосанитарный мониторинг посевных площадей в связи с производством пропашных и кормовых культур в году предоставления субсидии, рублей.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4" w:name="anchor1037"/>
      <w:bookmarkEnd w:id="14"/>
      <w:r>
        <w:rPr>
          <w:rFonts w:ascii="Times New Roman" w:hAnsi="Times New Roman"/>
        </w:rPr>
        <w:t xml:space="preserve">Для расчета объема субсидии принимается значение </w:t>
      </w:r>
      <w:proofErr w:type="spellStart"/>
      <w:r>
        <w:rPr>
          <w:rFonts w:ascii="Times New Roman" w:hAnsi="Times New Roman"/>
        </w:rPr>
        <w:t>Мпр</w:t>
      </w:r>
      <w:proofErr w:type="spellEnd"/>
      <w:r>
        <w:rPr>
          <w:rFonts w:ascii="Times New Roman" w:hAnsi="Times New Roman"/>
        </w:rPr>
        <w:t>, округленное до двух знаков после запятой.</w:t>
      </w:r>
    </w:p>
    <w:p w:rsidR="004118C5" w:rsidRDefault="001A4EE6">
      <w:pPr>
        <w:ind w:firstLine="720"/>
        <w:rPr>
          <w:rFonts w:ascii="Times New Roman" w:hAnsi="Times New Roman"/>
        </w:rPr>
      </w:pPr>
      <w:bookmarkStart w:id="15" w:name="anchor1045"/>
      <w:bookmarkEnd w:id="15"/>
      <w:r>
        <w:rPr>
          <w:rFonts w:ascii="Times New Roman" w:hAnsi="Times New Roman"/>
        </w:rPr>
        <w:t>В случае невозможности предоставления получателю субсидии, соответствующему требованиям, установленным частью 6 настоящего Порядка,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победителей отбора не установлено.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16. Порядок представления участникам отбора разъяснений положений объявления, даты начала и окончания срока такого представления</w:t>
      </w:r>
    </w:p>
    <w:p w:rsidR="004118C5" w:rsidRDefault="004118C5">
      <w:pPr>
        <w:ind w:firstLine="709"/>
        <w:rPr>
          <w:rFonts w:ascii="Times New Roman" w:hAnsi="Times New Roman"/>
          <w:b/>
        </w:rPr>
      </w:pP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Любой участник отбора со дня размещения объявления на </w:t>
      </w:r>
      <w:hyperlink r:id="rId16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</w:t>
      </w:r>
      <w:hyperlink r:id="rId17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4118C5" w:rsidRDefault="001A4EE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4118C5" w:rsidRDefault="001A4EE6">
      <w:pPr>
        <w:ind w:firstLine="720"/>
        <w:rPr>
          <w:rFonts w:ascii="Times New Roman" w:hAnsi="Times New Roman"/>
          <w:sz w:val="24"/>
        </w:rPr>
      </w:pPr>
      <w:bookmarkStart w:id="16" w:name="anchor1122"/>
      <w:bookmarkEnd w:id="16"/>
      <w:r>
        <w:rPr>
          <w:rFonts w:ascii="Times New Roman" w:hAnsi="Times New Roman"/>
        </w:rPr>
        <w:t>Министерство в ответ на запрос, указанный в части 45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</w:t>
      </w:r>
      <w:r>
        <w:rPr>
          <w:rFonts w:ascii="Times New Roman" w:hAnsi="Times New Roman"/>
          <w:sz w:val="24"/>
        </w:rPr>
        <w:t xml:space="preserve"> объявления не должно изменять суть информации, содержащейся в указанном объявлении.</w:t>
      </w:r>
    </w:p>
    <w:p w:rsidR="004118C5" w:rsidRDefault="004118C5">
      <w:pPr>
        <w:ind w:firstLine="709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17. Срок, в течение которого победитель (победители) отбора должен (должны) подписать соглашение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4118C5" w:rsidRDefault="004118C5">
      <w:pPr>
        <w:ind w:firstLine="709"/>
        <w:rPr>
          <w:rFonts w:ascii="Times New Roman" w:hAnsi="Times New Roman"/>
          <w:b/>
        </w:rPr>
      </w:pPr>
    </w:p>
    <w:p w:rsidR="00B21DF2" w:rsidRDefault="00B21DF2">
      <w:pPr>
        <w:ind w:firstLine="709"/>
        <w:jc w:val="center"/>
        <w:rPr>
          <w:rStyle w:val="1b"/>
          <w:rFonts w:ascii="Times New Roman" w:hAnsi="Times New Roman"/>
          <w:b/>
        </w:rPr>
      </w:pPr>
    </w:p>
    <w:p w:rsidR="00B21DF2" w:rsidRDefault="00B21DF2">
      <w:pPr>
        <w:ind w:firstLine="709"/>
        <w:jc w:val="center"/>
        <w:rPr>
          <w:rStyle w:val="1b"/>
          <w:rFonts w:ascii="Times New Roman" w:hAnsi="Times New Roman"/>
          <w:b/>
        </w:rPr>
      </w:pPr>
    </w:p>
    <w:p w:rsidR="004118C5" w:rsidRDefault="001A4EE6">
      <w:pPr>
        <w:ind w:firstLine="709"/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lastRenderedPageBreak/>
        <w:t>18. Условия признания победителя (победителей) отбора уклонившимся от заключения соглашения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Победитель отбора признается уклонившимся от заключения соглашения в случае, если им не</w:t>
      </w:r>
      <w:r>
        <w:rPr>
          <w:rFonts w:ascii="Times New Roman" w:hAnsi="Times New Roman"/>
        </w:rPr>
        <w:t xml:space="preserve"> представлено в Министерство подписанное соглашение о предоставлении субсидии в течение 10 рабочих дней со дня получения проекта соглашения.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19. Срок размещения протокола подведения итогов отбора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не позднее 14 календарного дня, следующего</w:t>
      </w:r>
      <w:r>
        <w:rPr>
          <w:rStyle w:val="1b"/>
          <w:rFonts w:ascii="Times New Roman" w:hAnsi="Times New Roman"/>
        </w:rPr>
        <w:t xml:space="preserve"> за днем принятия решения, предусмотренного частью 48 Порядка, размещает на </w:t>
      </w:r>
      <w:hyperlink r:id="rId18" w:history="1">
        <w:r>
          <w:rPr>
            <w:rStyle w:val="1b"/>
            <w:rFonts w:ascii="Times New Roman" w:hAnsi="Times New Roman"/>
          </w:rPr>
          <w:t>едином портале</w:t>
        </w:r>
      </w:hyperlink>
      <w:r>
        <w:rPr>
          <w:rStyle w:val="1b"/>
          <w:rFonts w:ascii="Times New Roman" w:hAnsi="Times New Roman"/>
        </w:rPr>
        <w:t xml:space="preserve"> бюджетной системы Российской Федерации и на </w:t>
      </w:r>
      <w:hyperlink r:id="rId19" w:history="1">
        <w:r>
          <w:rPr>
            <w:rStyle w:val="1b"/>
            <w:rFonts w:ascii="Times New Roman" w:hAnsi="Times New Roman"/>
          </w:rPr>
          <w:t>официальном сайте</w:t>
        </w:r>
      </w:hyperlink>
      <w:r>
        <w:rPr>
          <w:rStyle w:val="1b"/>
          <w:rFonts w:ascii="Times New Roman" w:hAnsi="Times New Roman"/>
        </w:rPr>
        <w:t xml:space="preserve"> исполнительных органов Камчатского края на странице Министерства в информационно-телекоммуникационной сети «Интернет» </w:t>
      </w:r>
      <w:hyperlink r:id="rId20" w:history="1">
        <w:r>
          <w:rPr>
            <w:rStyle w:val="1b"/>
            <w:rFonts w:ascii="Times New Roman" w:hAnsi="Times New Roman"/>
          </w:rPr>
          <w:t>https://www.kamgov.ru/minselhoz</w:t>
        </w:r>
      </w:hyperlink>
      <w:r>
        <w:rPr>
          <w:rStyle w:val="1b"/>
          <w:rFonts w:ascii="Times New Roman" w:hAnsi="Times New Roman"/>
        </w:rPr>
        <w:t xml:space="preserve"> в разделе «Текущая деятельность» протокол подведения итогов отбора.</w:t>
      </w:r>
    </w:p>
    <w:p w:rsidR="004118C5" w:rsidRDefault="004118C5">
      <w:pPr>
        <w:jc w:val="center"/>
        <w:rPr>
          <w:rFonts w:ascii="Times New Roman" w:hAnsi="Times New Roman"/>
        </w:rPr>
      </w:pPr>
    </w:p>
    <w:p w:rsidR="004118C5" w:rsidRDefault="001A4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 Период, за который предоставляется субсидия</w:t>
      </w:r>
    </w:p>
    <w:p w:rsidR="004118C5" w:rsidRDefault="004118C5">
      <w:pPr>
        <w:jc w:val="center"/>
        <w:rPr>
          <w:rFonts w:ascii="Times New Roman" w:hAnsi="Times New Roman"/>
          <w:b/>
        </w:rPr>
      </w:pPr>
    </w:p>
    <w:p w:rsidR="004118C5" w:rsidRDefault="001A4EE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за 2024 год.</w:t>
      </w:r>
    </w:p>
    <w:sectPr w:rsidR="004118C5">
      <w:pgSz w:w="11906" w:h="16838"/>
      <w:pgMar w:top="1134" w:right="737" w:bottom="96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C5"/>
    <w:rsid w:val="001A4EE6"/>
    <w:rsid w:val="00241331"/>
    <w:rsid w:val="002A51A3"/>
    <w:rsid w:val="00323CBE"/>
    <w:rsid w:val="004118C5"/>
    <w:rsid w:val="00831D70"/>
    <w:rsid w:val="00B21DF2"/>
    <w:rsid w:val="00D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E985-601E-4D69-9570-93C22C3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0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1">
    <w:name w:val="Основной шрифт абзаца3"/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f0">
    <w:name w:val="toc 1"/>
    <w:next w:val="a"/>
    <w:link w:val="1f1"/>
    <w:uiPriority w:val="39"/>
    <w:rPr>
      <w:b/>
      <w:sz w:val="28"/>
    </w:rPr>
  </w:style>
  <w:style w:type="character" w:customStyle="1" w:styleId="1f1">
    <w:name w:val="Оглавление 1 Знак"/>
    <w:link w:val="1f0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customStyle="1" w:styleId="a4">
    <w:name w:val="Нормальный"/>
    <w:basedOn w:val="a"/>
    <w:link w:val="a5"/>
    <w:pPr>
      <w:ind w:firstLine="720"/>
    </w:pPr>
    <w:rPr>
      <w:rFonts w:ascii="Times New Roman" w:hAnsi="Times New Roman"/>
      <w:sz w:val="24"/>
    </w:rPr>
  </w:style>
  <w:style w:type="character" w:customStyle="1" w:styleId="a5">
    <w:name w:val="Нормальный"/>
    <w:basedOn w:val="1"/>
    <w:link w:val="a4"/>
    <w:rPr>
      <w:rFonts w:ascii="Times New Roman" w:hAnsi="Times New Roman"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customStyle="1" w:styleId="2a">
    <w:name w:val="Заголовок 2 Знак"/>
    <w:link w:val="2b"/>
    <w:rPr>
      <w:b/>
      <w:sz w:val="28"/>
    </w:rPr>
  </w:style>
  <w:style w:type="character" w:customStyle="1" w:styleId="2b">
    <w:name w:val="Заголовок 2 Знак"/>
    <w:link w:val="2a"/>
    <w:rPr>
      <w:b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1">
    <w:name w:val="Заголовок 2 Знак1"/>
    <w:link w:val="2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2413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13" Type="http://schemas.openxmlformats.org/officeDocument/2006/relationships/hyperlink" Target="http://www.budget.gov.ru" TargetMode="External"/><Relationship Id="rId18" Type="http://schemas.openxmlformats.org/officeDocument/2006/relationships/hyperlink" Target="http://www.budget.gov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404991865/0" TargetMode="External"/><Relationship Id="rId12" Type="http://schemas.openxmlformats.org/officeDocument/2006/relationships/hyperlink" Target="http://pravo-minjust.ru" TargetMode="External"/><Relationship Id="rId17" Type="http://schemas.openxmlformats.org/officeDocument/2006/relationships/hyperlink" Target="https://www.kamgov.ru/minselho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dget.gov.ru" TargetMode="External"/><Relationship Id="rId20" Type="http://schemas.openxmlformats.org/officeDocument/2006/relationships/hyperlink" Target="https://www.kamgov.ru/minselhoz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540400/7000" TargetMode="External"/><Relationship Id="rId11" Type="http://schemas.openxmlformats.org/officeDocument/2006/relationships/hyperlink" Target="http://www.fedsfm.ru/" TargetMode="External"/><Relationship Id="rId5" Type="http://schemas.openxmlformats.org/officeDocument/2006/relationships/hyperlink" Target="https://internet.garant.ru/document/redirect/404896369/1000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fedsfm.ru/" TargetMode="External"/><Relationship Id="rId19" Type="http://schemas.openxmlformats.org/officeDocument/2006/relationships/hyperlink" Target="http://www.kamgov.ru/" TargetMode="External"/><Relationship Id="rId4" Type="http://schemas.openxmlformats.org/officeDocument/2006/relationships/hyperlink" Target="https://www.kamgov.ru/minselhoz" TargetMode="External"/><Relationship Id="rId9" Type="http://schemas.openxmlformats.org/officeDocument/2006/relationships/hyperlink" Target="https://www.kamgov.ru/minselhoz/current_activities/StateSupport/FormsDocumentsSubsidies" TargetMode="External"/><Relationship Id="rId14" Type="http://schemas.openxmlformats.org/officeDocument/2006/relationships/hyperlink" Target="https://www.kamgov.ru/minselho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Вострухина Ольга Владимировна</cp:lastModifiedBy>
  <cp:revision>5</cp:revision>
  <cp:lastPrinted>2024-12-04T04:53:00Z</cp:lastPrinted>
  <dcterms:created xsi:type="dcterms:W3CDTF">2024-10-30T04:53:00Z</dcterms:created>
  <dcterms:modified xsi:type="dcterms:W3CDTF">2024-12-04T05:00:00Z</dcterms:modified>
</cp:coreProperties>
</file>