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rFonts w:ascii="Times New Roman" w:hAnsi="Times New Roman"/>
          <w:sz w:val="32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rPr>
          <w:rFonts w:ascii="Times New Roman" w:hAnsi="Times New Roman"/>
          <w:b w:val="1"/>
          <w:sz w:val="32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ind/>
        <w:jc w:val="center"/>
        <w:rPr>
          <w:rFonts w:ascii="Times New Roman" w:hAnsi="Times New Roman"/>
          <w:b w:val="1"/>
        </w:rPr>
      </w:pPr>
    </w:p>
    <w:p w14:paraId="0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ПРАВИТЕЛЬСТВА</w:t>
      </w:r>
    </w:p>
    <w:p w14:paraId="0A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КАМЧАТСКОГО КРАЯ</w:t>
      </w:r>
    </w:p>
    <w:p w14:paraId="0B000000">
      <w:pPr>
        <w:ind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ind w:right="5526"/>
        <w:jc w:val="center"/>
        <w:rPr>
          <w:rFonts w:ascii="Times New Roman" w:hAnsi="Times New Roman"/>
        </w:rPr>
      </w:pPr>
    </w:p>
    <w:p w14:paraId="10000000">
      <w:pPr>
        <w:ind w:firstLine="709" w:left="0"/>
        <w:rPr>
          <w:rFonts w:ascii="Times New Roman" w:hAnsi="Times New Roman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rPr>
          <w:trHeight w:hRule="atLeast" w:val="387"/>
        </w:trP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 внесении изменений в постановление Пра</w:t>
            </w:r>
            <w:r>
              <w:rPr>
                <w:rFonts w:ascii="Times New Roman" w:hAnsi="Times New Roman"/>
                <w:b w:val="1"/>
              </w:rPr>
              <w:t>вительства Камчатского края от 30.12</w:t>
            </w:r>
            <w:r>
              <w:rPr>
                <w:rFonts w:ascii="Times New Roman" w:hAnsi="Times New Roman"/>
                <w:b w:val="1"/>
              </w:rPr>
              <w:t xml:space="preserve">.2022 № </w:t>
            </w:r>
            <w:r>
              <w:rPr>
                <w:rFonts w:ascii="Times New Roman" w:hAnsi="Times New Roman"/>
                <w:b w:val="1"/>
              </w:rPr>
              <w:t>770</w:t>
            </w:r>
            <w:r>
              <w:rPr>
                <w:rFonts w:ascii="Times New Roman" w:hAnsi="Times New Roman"/>
                <w:b w:val="1"/>
              </w:rPr>
              <w:t>-П «</w:t>
            </w:r>
            <w:r>
              <w:rPr>
                <w:rFonts w:ascii="Times New Roman" w:hAnsi="Times New Roman"/>
                <w:b w:val="1"/>
              </w:rPr>
              <w:t>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</w:t>
            </w:r>
            <w:r>
              <w:rPr>
                <w:rFonts w:ascii="Times New Roman" w:hAnsi="Times New Roman"/>
                <w:b w:val="1"/>
              </w:rPr>
              <w:t>»</w:t>
            </w:r>
          </w:p>
        </w:tc>
      </w:tr>
    </w:tbl>
    <w:p w14:paraId="12000000">
      <w:pPr>
        <w:ind w:firstLine="709" w:left="0"/>
        <w:rPr>
          <w:rFonts w:ascii="Times New Roman" w:hAnsi="Times New Roman"/>
        </w:rPr>
      </w:pPr>
    </w:p>
    <w:p w14:paraId="13000000">
      <w:pPr>
        <w:ind w:firstLine="709" w:left="0"/>
        <w:rPr>
          <w:rFonts w:ascii="Times New Roman" w:hAnsi="Times New Roman"/>
        </w:rPr>
      </w:pPr>
    </w:p>
    <w:p w14:paraId="1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ПОСТАНОВЛЯЕТ:</w:t>
      </w:r>
    </w:p>
    <w:p w14:paraId="15000000">
      <w:pPr>
        <w:ind w:firstLine="709" w:left="0"/>
        <w:rPr>
          <w:rFonts w:ascii="Times New Roman" w:hAnsi="Times New Roman"/>
        </w:rPr>
      </w:pPr>
    </w:p>
    <w:p w14:paraId="1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 Внести в постановление Пра</w:t>
      </w:r>
      <w:r>
        <w:rPr>
          <w:rFonts w:ascii="Times New Roman" w:hAnsi="Times New Roman"/>
        </w:rPr>
        <w:t>вительства Камчатского края от 30.12.2022 № 770</w:t>
      </w:r>
      <w:r>
        <w:rPr>
          <w:rFonts w:ascii="Times New Roman" w:hAnsi="Times New Roman"/>
        </w:rPr>
        <w:t>-П «</w:t>
      </w:r>
      <w:r>
        <w:rPr>
          <w:rFonts w:ascii="Times New Roman" w:hAnsi="Times New Roman"/>
        </w:rPr>
        <w:t>Об утверждении Порядка предоставления субсидии на возмещение части затрат, связанных с убоем сельскохозяйственных животных в специализированном месте убоя животных, и проведения отбора получателей субсидии</w:t>
      </w:r>
      <w:r>
        <w:rPr>
          <w:rFonts w:ascii="Times New Roman" w:hAnsi="Times New Roman"/>
        </w:rPr>
        <w:t>» следующие изменения:</w:t>
      </w:r>
    </w:p>
    <w:p w14:paraId="1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наименовании слово «части» исключить;</w:t>
      </w:r>
    </w:p>
    <w:p w14:paraId="1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в части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слово «части»  исключить;</w:t>
      </w:r>
    </w:p>
    <w:p w14:paraId="1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приложение изложить в редакции согласно </w:t>
      </w:r>
      <w:r>
        <w:rPr>
          <w:rFonts w:ascii="Times New Roman" w:hAnsi="Times New Roman"/>
        </w:rPr>
        <w:t>приложению</w:t>
      </w:r>
      <w:r>
        <w:rPr>
          <w:rFonts w:ascii="Times New Roman" w:hAnsi="Times New Roman"/>
        </w:rPr>
        <w:t xml:space="preserve"> к настоящему постановлению.</w:t>
      </w:r>
    </w:p>
    <w:p w14:paraId="1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 Настоящее постановление вступает в силу с 1 января 2025 года.</w:t>
      </w:r>
    </w:p>
    <w:p w14:paraId="1B000000">
      <w:pPr>
        <w:ind w:firstLine="709" w:left="0"/>
        <w:rPr>
          <w:rFonts w:ascii="Times New Roman" w:hAnsi="Times New Roman"/>
        </w:rPr>
      </w:pPr>
    </w:p>
    <w:p w14:paraId="1C000000">
      <w:pPr>
        <w:ind w:firstLine="709" w:left="0"/>
        <w:rPr>
          <w:rFonts w:ascii="Times New Roman" w:hAnsi="Times New Roman"/>
        </w:rPr>
      </w:pPr>
    </w:p>
    <w:p w14:paraId="1D000000">
      <w:pPr>
        <w:ind w:firstLine="709" w:left="0"/>
        <w:rPr>
          <w:rFonts w:ascii="Times New Roman" w:hAnsi="Times New Roman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Председатель Правительства Камчатского края</w:t>
            </w:r>
          </w:p>
          <w:p w14:paraId="1F000000">
            <w:pPr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1000000">
            <w:pPr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ind w:right="135"/>
              <w:jc w:val="right"/>
              <w:rPr>
                <w:rFonts w:ascii="Times New Roman" w:hAnsi="Times New Roman"/>
              </w:rPr>
            </w:pPr>
          </w:p>
          <w:p w14:paraId="23000000">
            <w:pPr>
              <w:ind/>
              <w:jc w:val="right"/>
            </w:pPr>
            <w:r>
              <w:rPr>
                <w:rFonts w:ascii="Times New Roman" w:hAnsi="Times New Roman"/>
              </w:rPr>
              <w:t>Е.А. Чекин</w:t>
            </w:r>
          </w:p>
        </w:tc>
      </w:tr>
    </w:tbl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ind w:firstLine="709" w:left="4820"/>
      </w:pPr>
    </w:p>
    <w:p w14:paraId="37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к постановлению</w:t>
      </w:r>
    </w:p>
    <w:p w14:paraId="38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Правительства Камчатского края</w:t>
      </w:r>
    </w:p>
    <w:p w14:paraId="39000000">
      <w:pPr>
        <w:ind w:firstLine="0"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от 30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12.2022 № 770</w:t>
      </w:r>
      <w:r>
        <w:rPr>
          <w:rFonts w:ascii="Times New Roman" w:hAnsi="Times New Roman"/>
        </w:rPr>
        <w:t>-П</w:t>
      </w:r>
    </w:p>
    <w:p w14:paraId="3A000000">
      <w:pPr>
        <w:rPr>
          <w:rFonts w:ascii="Times New Roman" w:hAnsi="Times New Roman"/>
          <w:b w:val="1"/>
        </w:rPr>
      </w:pPr>
    </w:p>
    <w:p w14:paraId="3B000000">
      <w:pPr>
        <w:rPr>
          <w:rFonts w:ascii="Times New Roman" w:hAnsi="Times New Roman"/>
          <w:b w:val="1"/>
        </w:rPr>
      </w:pPr>
    </w:p>
    <w:p w14:paraId="3C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Порядок </w:t>
      </w:r>
    </w:p>
    <w:p w14:paraId="3D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предоставления субсидии </w:t>
      </w:r>
      <w:r>
        <w:rPr>
          <w:rFonts w:ascii="Times New Roman" w:hAnsi="Times New Roman"/>
        </w:rPr>
        <w:t>на возмещение части затрат, связанных с убоем сельскохозяйственных животных в специализированном месте убоя животных</w:t>
      </w:r>
      <w:r>
        <w:rPr>
          <w:rFonts w:ascii="Times New Roman" w:hAnsi="Times New Roman"/>
        </w:rPr>
        <w:t>, и проведения отбора получателей субсидии</w:t>
      </w:r>
    </w:p>
    <w:p w14:paraId="3E000000">
      <w:pPr>
        <w:ind/>
        <w:jc w:val="center"/>
        <w:rPr>
          <w:rFonts w:ascii="Times New Roman" w:hAnsi="Times New Roman"/>
        </w:rPr>
      </w:pPr>
    </w:p>
    <w:p w14:paraId="3F000000">
      <w:pPr>
        <w:ind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14:paraId="40000000">
      <w:pPr>
        <w:rPr>
          <w:rFonts w:ascii="Times New Roman" w:hAnsi="Times New Roman"/>
        </w:rPr>
      </w:pPr>
    </w:p>
    <w:p w14:paraId="41000000">
      <w:pPr>
        <w:ind w:firstLine="708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 xml:space="preserve">1. Настоящий Порядок регулирует вопросы предоставления субсидии в целях достижения результата регионального проекта «Развитие производства продукции животноводства» (далее – региональный проект) </w:t>
      </w:r>
      <w:r>
        <w:rPr>
          <w:rFonts w:ascii="Times New Roman" w:hAnsi="Times New Roman"/>
        </w:rPr>
        <w:t>по направлению расходов «</w:t>
      </w:r>
      <w:r>
        <w:rPr>
          <w:rFonts w:ascii="Times New Roman" w:hAnsi="Times New Roman"/>
        </w:rPr>
        <w:t>Государственная поддержка сельскохозяйственных товаропроизводителей в целях возмещения части затрат, связанных с убоем сельскохозяйственных животных</w:t>
      </w:r>
      <w:r>
        <w:rPr>
          <w:rFonts w:ascii="Times New Roman" w:hAnsi="Times New Roman"/>
        </w:rPr>
        <w:t xml:space="preserve">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№ 715-П</w:t>
      </w:r>
      <w:r>
        <w:rPr>
          <w:rFonts w:ascii="Times New Roman" w:hAnsi="Times New Roman"/>
        </w:rPr>
        <w:t xml:space="preserve"> (далее – Госпрограмма), определяет порядок и условия предоставления из краевого бюджета за счет средств краевого бюджета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 xml:space="preserve">на возмещение части затрат (без учета налога на добавленную стоимость), </w:t>
      </w:r>
      <w:r>
        <w:rPr>
          <w:rFonts w:ascii="Times New Roman" w:hAnsi="Times New Roman"/>
          <w:sz w:val="28"/>
        </w:rPr>
        <w:t>связанных с убоем сельскохозяйственных</w:t>
      </w:r>
      <w:r>
        <w:rPr>
          <w:rFonts w:ascii="Times New Roman" w:hAnsi="Times New Roman"/>
          <w:sz w:val="28"/>
        </w:rPr>
        <w:t xml:space="preserve"> животных в специализированном месте убоя животных, и порядок проведения отбора получателей субсидии</w:t>
      </w:r>
      <w:r>
        <w:rPr>
          <w:rFonts w:ascii="Times New Roman" w:hAnsi="Times New Roman"/>
        </w:rPr>
        <w:t xml:space="preserve"> (далее – отбор).</w:t>
      </w:r>
    </w:p>
    <w:p w14:paraId="4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</w:t>
      </w:r>
      <w:r>
        <w:rPr>
          <w:rFonts w:ascii="Times New Roman" w:hAnsi="Times New Roman"/>
        </w:rPr>
        <w:t>налога на добавленную стоимость</w:t>
      </w:r>
      <w:r>
        <w:rPr>
          <w:rFonts w:ascii="Times New Roman" w:hAnsi="Times New Roman"/>
        </w:rPr>
        <w:t xml:space="preserve">, и предоставивших сведения, подтверждающие такое право, а также для получателей субсидии, применяющих упрощенную систему налогообложения, возмещение затрат, </w:t>
      </w:r>
      <w:r>
        <w:rPr>
          <w:rFonts w:ascii="Times New Roman" w:hAnsi="Times New Roman"/>
        </w:rPr>
        <w:t>связанных с убоем сельскохозяйственных животных в специализированном месте убоя животных</w:t>
      </w:r>
      <w:r>
        <w:rPr>
          <w:rFonts w:ascii="Times New Roman" w:hAnsi="Times New Roman"/>
        </w:rPr>
        <w:t xml:space="preserve">, осуществляется исходя из суммы расходов на приобретение товаров (работ, услуг), включая сумму </w:t>
      </w:r>
      <w:r>
        <w:rPr>
          <w:rFonts w:ascii="Times New Roman" w:hAnsi="Times New Roman"/>
        </w:rPr>
        <w:t>налога на добавленную стоимость</w:t>
      </w:r>
      <w:r>
        <w:rPr>
          <w:rFonts w:ascii="Times New Roman" w:hAnsi="Times New Roman"/>
        </w:rPr>
        <w:t>.</w:t>
      </w:r>
    </w:p>
    <w:p w14:paraId="4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4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Для целей настоящего Порядка используются следующие понятия:</w:t>
      </w:r>
    </w:p>
    <w:p w14:paraId="4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сельскохозяйственные животные</w:t>
      </w:r>
      <w:r>
        <w:rPr>
          <w:rFonts w:ascii="Times New Roman" w:hAnsi="Times New Roman"/>
          <w:color w:val="000000"/>
          <w:spacing w:val="0"/>
          <w:sz w:val="28"/>
        </w:rPr>
        <w:t> – </w:t>
      </w:r>
      <w:r>
        <w:rPr>
          <w:rFonts w:ascii="Times New Roman" w:hAnsi="Times New Roman"/>
        </w:rPr>
        <w:t>свиньи, мелкий рогатый скот, круп</w:t>
      </w:r>
      <w:r>
        <w:rPr>
          <w:rFonts w:ascii="Times New Roman" w:hAnsi="Times New Roman"/>
        </w:rPr>
        <w:t>ный рогатый скот, лошади;</w:t>
      </w:r>
    </w:p>
    <w:p w14:paraId="4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специализированное место убоя животных - производственный объект и иные места, предназначенные для убоя животных, соответствующие требованиям Приказа Министерства сельского хозяйства Российской Федерации от 28.04.2022 № 269 «Об утверждении Ветеринарных правил убоя животных и Ветеринарных правил назначения и проведения ветеринарно-санитарной экспертизы мяса и продуктов убоя (промысла) животных, предназначенных для переработки и (или) реализации».</w:t>
      </w:r>
    </w:p>
    <w:p w14:paraId="4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 Способом предоставления субсидии является возмещение затрат.</w:t>
      </w:r>
    </w:p>
    <w:p w14:paraId="4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единый портал)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(в разделе единого портала) в порядке, установленном Министерством финансов Российской Федерации.</w:t>
      </w:r>
    </w:p>
    <w:p w14:paraId="4B000000">
      <w:pPr>
        <w:ind w:firstLine="709" w:left="0"/>
        <w:rPr>
          <w:rFonts w:ascii="Times New Roman" w:hAnsi="Times New Roman"/>
        </w:rPr>
      </w:pPr>
    </w:p>
    <w:p w14:paraId="4C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Иные положения</w:t>
      </w:r>
    </w:p>
    <w:p w14:paraId="4D000000">
      <w:pPr>
        <w:rPr>
          <w:rFonts w:ascii="Times New Roman" w:hAnsi="Times New Roman"/>
        </w:rPr>
      </w:pPr>
    </w:p>
    <w:p w14:paraId="4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> К направлениям затрат, на возмещение которых предоставляется субсидия, относятся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затраты по убою сельскохозяйственных животных в специализированном месте убоя животных</w:t>
      </w:r>
      <w:r>
        <w:rPr>
          <w:rFonts w:ascii="Times New Roman" w:hAnsi="Times New Roman"/>
        </w:rPr>
        <w:t xml:space="preserve"> без учета транспортных расходов на транспортировку сельскохозяйственных животных в специализированное место убоя животных</w:t>
      </w:r>
      <w:r>
        <w:rPr>
          <w:rFonts w:ascii="Times New Roman" w:hAnsi="Times New Roman"/>
        </w:rPr>
        <w:t>.</w:t>
      </w:r>
    </w:p>
    <w:p w14:paraId="4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Получатель субсидии (участник отбора) должен соответствовать следующим требованиям на дату рассмотрения заявки для участия в отборе (далее – заявка):</w:t>
      </w:r>
    </w:p>
    <w:p w14:paraId="5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получатель субсидии (участник отбора) не находится в состав</w:t>
      </w:r>
      <w:r>
        <w:rPr>
          <w:rFonts w:ascii="Times New Roman" w:hAnsi="Times New Roman"/>
        </w:rPr>
        <w:t>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получатель субсидии (участник отбора) не получает средства из краевого бюджета на основании иных нормативных правовых актов Камчатского края на цель, указанную в части 1 настоящего Порядка;</w:t>
      </w:r>
    </w:p>
    <w:p w14:paraId="5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получатель субсидии (участник отбора) 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«О контроле за деятельностью лиц, находящихся под иностранным влиянием»;</w:t>
      </w:r>
    </w:p>
    <w:p w14:paraId="5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</w:rPr>
        <w:t>Основаниями для отказа получателю субсидии в предоставлении субсидии являются:</w:t>
      </w:r>
    </w:p>
    <w:p w14:paraId="5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14:paraId="5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установление факта недостоверности представленной получателем субсидии информации;</w:t>
      </w:r>
    </w:p>
    <w:p w14:paraId="5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</w:t>
      </w:r>
      <w:r>
        <w:rPr>
          <w:rFonts w:ascii="Times New Roman" w:hAnsi="Times New Roman"/>
        </w:rPr>
        <w:t>неподписание</w:t>
      </w:r>
      <w:r>
        <w:rPr>
          <w:rFonts w:ascii="Times New Roman" w:hAnsi="Times New Roman"/>
        </w:rPr>
        <w:t xml:space="preserve"> победителем отбора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проекта соглашения о предоставлении субсидии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(далее – соглашение) в государственной интегрированной информационной системе управления общественными финансами «Электронный бюджет» </w:t>
      </w:r>
      <w:r>
        <w:br/>
      </w:r>
      <w:r>
        <w:rPr>
          <w:rFonts w:ascii="Times New Roman" w:hAnsi="Times New Roman"/>
        </w:rPr>
        <w:t xml:space="preserve">(далее – система «Электронный бюджет») в срок, предусмотренный пунктом </w:t>
      </w:r>
      <w:r>
        <w:br/>
      </w:r>
      <w:r>
        <w:rPr>
          <w:rFonts w:ascii="Times New Roman" w:hAnsi="Times New Roman"/>
        </w:rPr>
        <w:t xml:space="preserve">2 части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настоящего Порядка.</w:t>
      </w:r>
    </w:p>
    <w:p w14:paraId="5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Расчет размера субсидии производится по следующей формуле:</w:t>
      </w:r>
    </w:p>
    <w:p w14:paraId="5B000000">
      <w:pPr>
        <w:ind w:firstLine="709" w:left="0"/>
        <w:rPr>
          <w:rFonts w:ascii="Times New Roman" w:hAnsi="Times New Roman"/>
        </w:rPr>
      </w:pPr>
    </w:p>
    <w:p w14:paraId="5C000000">
      <w:pPr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= З</w:t>
      </w:r>
      <w:r>
        <w:rPr>
          <w:rFonts w:ascii="Times New Roman" w:hAnsi="Times New Roman"/>
        </w:rPr>
        <w:t xml:space="preserve"> х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</w:rPr>
        <w:t>, где:</w:t>
      </w:r>
    </w:p>
    <w:p w14:paraId="5D000000">
      <w:pPr>
        <w:ind w:firstLine="708" w:left="0"/>
        <w:rPr>
          <w:rFonts w:ascii="Times New Roman" w:hAnsi="Times New Roman"/>
        </w:rPr>
      </w:pPr>
    </w:p>
    <w:p w14:paraId="5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 – размер субсидии на возмещение затрат, связанных </w:t>
      </w:r>
      <w:r>
        <w:rPr>
          <w:rFonts w:ascii="Times New Roman" w:hAnsi="Times New Roman"/>
        </w:rPr>
        <w:t>убоем сельскохозяйственных животных в специализированном месте убоя животных, без учета транспортных расходов на транспортировку сельскохозяйственных животных в специализированное место убоя животных</w:t>
      </w:r>
      <w:r>
        <w:rPr>
          <w:rFonts w:ascii="Times New Roman" w:hAnsi="Times New Roman"/>
        </w:rPr>
        <w:t>, с учетом положений части 1 настоящего Порядка;</w:t>
      </w:r>
    </w:p>
    <w:p w14:paraId="5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 – </w:t>
      </w:r>
      <w:r>
        <w:rPr>
          <w:rFonts w:ascii="Times New Roman" w:hAnsi="Times New Roman"/>
        </w:rPr>
        <w:t xml:space="preserve">фактические </w:t>
      </w:r>
      <w:r>
        <w:rPr>
          <w:rFonts w:ascii="Times New Roman" w:hAnsi="Times New Roman"/>
        </w:rPr>
        <w:t xml:space="preserve">затраты, понесенные получателем субсидии в заявленном периоде по убою сельскохозяйственных животных в специализированном месте убоя животных, без учета транспортных расходов на транспортировку сельскохозяйственных животных в специализированное место убоя животных </w:t>
      </w:r>
      <w:r>
        <w:rPr>
          <w:rFonts w:ascii="Times New Roman" w:hAnsi="Times New Roman"/>
        </w:rPr>
        <w:t xml:space="preserve">(тыс. рублей). </w:t>
      </w:r>
    </w:p>
    <w:p w14:paraId="6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СТ – ставк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субсидии, </w:t>
      </w:r>
      <w:r>
        <w:rPr>
          <w:rFonts w:ascii="Times New Roman" w:hAnsi="Times New Roman"/>
        </w:rPr>
        <w:t>размер которой равен</w:t>
      </w:r>
      <w:r>
        <w:rPr>
          <w:rFonts w:ascii="Times New Roman" w:hAnsi="Times New Roman"/>
        </w:rPr>
        <w:t xml:space="preserve"> 50 процент</w:t>
      </w:r>
      <w:r>
        <w:rPr>
          <w:rFonts w:ascii="Times New Roman" w:hAnsi="Times New Roman"/>
        </w:rPr>
        <w:t>ам.</w:t>
      </w:r>
      <w:r>
        <w:rPr>
          <w:rFonts w:ascii="Times New Roman" w:hAnsi="Times New Roman"/>
        </w:rPr>
        <w:t xml:space="preserve"> </w:t>
      </w:r>
    </w:p>
    <w:p w14:paraId="6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</w:rPr>
        <w:t xml:space="preserve">Для расчета размера субсидии принимается значение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>, округленное до двух знаков после запятой.</w:t>
      </w:r>
    </w:p>
    <w:p w14:paraId="6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 xml:space="preserve"> Обязательными условиями предоставления субсидии, являются:</w:t>
      </w:r>
    </w:p>
    <w:p w14:paraId="6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согласие получателя субсидии на осуществление в отношении 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Федерации;</w:t>
      </w:r>
    </w:p>
    <w:p w14:paraId="6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 или расторжение соглашения при </w:t>
      </w:r>
      <w:r>
        <w:rPr>
          <w:rFonts w:ascii="Times New Roman" w:hAnsi="Times New Roman"/>
        </w:rPr>
        <w:t>недостижении</w:t>
      </w:r>
      <w:r>
        <w:rPr>
          <w:rFonts w:ascii="Times New Roman" w:hAnsi="Times New Roman"/>
        </w:rPr>
        <w:t xml:space="preserve"> согласия по новым условиям;</w:t>
      </w:r>
    </w:p>
    <w:p w14:paraId="6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наличие достигнутого получателем субсидии результата предоставления субсидии;</w:t>
      </w:r>
    </w:p>
    <w:p w14:paraId="66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4) обязательство предоставления отчета о достижении значений результатов предоставления субсидии по формам, определенным типовыми формами соглашения, установленным Министерством финансов Российской Федерации;</w:t>
      </w:r>
    </w:p>
    <w:p w14:paraId="6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 обязательство предоставления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формам, утвержденным приказом Министерства сельского хозяйства Российской Федерации, и в сроки, установленные приказом Министерства (для категории получателей субсидии, указанных в пункте 1 части 32 настоящего Порядка);</w:t>
      </w:r>
    </w:p>
    <w:p w14:paraId="6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 обязательство предоставления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утвержденным приказом Министерства сельского хозяйства Российской Федерации, и в сроки, установленные приказом Министерства,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 (для категории участников отбора, указанных в пункте 1 части 32 настоящего Порядка). </w:t>
      </w:r>
    </w:p>
    <w:p w14:paraId="6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</w:t>
      </w:r>
      <w:r>
        <w:rPr>
          <w:rFonts w:ascii="Times New Roman" w:hAnsi="Times New Roman"/>
        </w:rPr>
        <w:t xml:space="preserve">13 </w:t>
      </w:r>
      <w:r>
        <w:rPr>
          <w:rFonts w:ascii="Times New Roman" w:hAnsi="Times New Roman"/>
        </w:rPr>
        <w:t>настоящего Порядка.</w:t>
      </w:r>
    </w:p>
    <w:p w14:paraId="6A000000">
      <w:pPr>
        <w:ind w:firstLine="720" w:left="0"/>
        <w:rPr>
          <w:rFonts w:ascii="Times New Roman" w:hAnsi="Times New Roman"/>
          <w:strike w:val="1"/>
          <w:shd w:fill="92FF99" w:val="clear"/>
        </w:rPr>
      </w:pPr>
      <w:r>
        <w:rPr>
          <w:rFonts w:ascii="Times New Roman" w:hAnsi="Times New Roman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14:paraId="6B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Заключение соглашения осуществляется в следующем порядке и сроки:</w:t>
      </w:r>
    </w:p>
    <w:p w14:paraId="6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Министерство в течение 10 рабочих дней со дня формирования на едином портале протокола подведения итогов отбора в соответствии с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частью 65 настоящего Порядка размещает проект соглашения в системе «Электронный бюджет»; </w:t>
      </w:r>
    </w:p>
    <w:p w14:paraId="6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получатель субсидии в течение 5 рабочих дней со дня размещения проекта соглашения в системе «Электронный бюджет» подписывает соглашение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6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14:paraId="6F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 xml:space="preserve">4) 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казначейства, при этом день </w:t>
      </w:r>
      <w:r>
        <w:rPr>
          <w:rFonts w:ascii="Times New Roman" w:hAnsi="Times New Roman"/>
        </w:rPr>
        <w:t>заключения соглашения считается днем принятия решения о предоставлении субсидии.</w:t>
      </w:r>
    </w:p>
    <w:p w14:paraId="70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14.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В течении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Российской Федерации, в системе «Электронный бюджет».</w:t>
      </w:r>
    </w:p>
    <w:p w14:paraId="7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 и размещения в системе «Электронный бюджет» дополнительного соглашения к соглашению (дополнительного соглашения о расторжении соглашения).</w:t>
      </w:r>
    </w:p>
    <w:p w14:paraId="7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в течение 10 рабочих дней со дня получения документов, указанных в абзаце втором настоящей части, но не позднее 1 декабря соответствующего финансового года, подписывает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14:paraId="7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7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</w:rPr>
        <w:t xml:space="preserve">Победитель отбора признается уклонившимся от заключения соглашения 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</w:t>
      </w:r>
      <w:r>
        <w:rPr>
          <w:rFonts w:ascii="Times New Roman" w:hAnsi="Times New Roman"/>
        </w:rPr>
        <w:t xml:space="preserve">13 </w:t>
      </w:r>
      <w:r>
        <w:rPr>
          <w:rFonts w:ascii="Times New Roman" w:hAnsi="Times New Roman"/>
        </w:rPr>
        <w:t xml:space="preserve">настоящего Порядка. </w:t>
      </w:r>
    </w:p>
    <w:p w14:paraId="7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признается уклонившимся от заключения дополнительного соглашения 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проекта дополнительного соглашения в системе «Электронный бюджет» в срок, предусмотренный абзацем третьем части </w:t>
      </w:r>
      <w:r>
        <w:rPr>
          <w:rFonts w:ascii="Times New Roman" w:hAnsi="Times New Roman"/>
        </w:rPr>
        <w:t xml:space="preserve">14 </w:t>
      </w:r>
      <w:r>
        <w:rPr>
          <w:rFonts w:ascii="Times New Roman" w:hAnsi="Times New Roman"/>
        </w:rPr>
        <w:t>настоящего Порядка.</w:t>
      </w:r>
    </w:p>
    <w:p w14:paraId="7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</w:rPr>
        <w:t>Для перечисления субсидии Министерство в течение 3 рабочих дней после регистрации соглашения в установленном порядке органами Федерального казначейства, готовит реестр на перечисление субсидии, необходимый для дальнейшего перечисления денежных средств получателю субсидии.</w:t>
      </w:r>
    </w:p>
    <w:p w14:paraId="7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единовременно не позднее 10 рабочего дня, следующего за днем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>регистрации соглашения в установленном порядке органами Федерального казначейства.</w:t>
      </w:r>
    </w:p>
    <w:p w14:paraId="7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>
        <w:rPr>
          <w:rFonts w:ascii="Times New Roman" w:hAnsi="Times New Roman"/>
        </w:rPr>
        <w:t xml:space="preserve">Результатом предоставления субсидии является </w:t>
      </w:r>
      <w:r>
        <w:rPr>
          <w:rFonts w:ascii="Times New Roman" w:hAnsi="Times New Roman"/>
        </w:rPr>
        <w:t>количество сельскохозяйственных животных, убой которых произведен в специализированном месте убоя живот</w:t>
      </w:r>
      <w:r>
        <w:rPr>
          <w:rFonts w:ascii="Times New Roman" w:hAnsi="Times New Roman"/>
        </w:rPr>
        <w:t>ных в заявленном периоде (штук)</w:t>
      </w:r>
      <w:r>
        <w:rPr>
          <w:rFonts w:ascii="Times New Roman" w:hAnsi="Times New Roman"/>
        </w:rPr>
        <w:t>.</w:t>
      </w:r>
    </w:p>
    <w:p w14:paraId="7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Значение результата предоставления субсидии устанавливается Министерством в соглашении.</w:t>
      </w:r>
    </w:p>
    <w:p w14:paraId="7A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18. </w:t>
      </w:r>
      <w:r>
        <w:rPr>
          <w:rFonts w:ascii="Times New Roman" w:hAnsi="Times New Roman"/>
        </w:rPr>
        <w:t>При реорганизации, ликвидации (прекращении деятельности) получателя субсидии:</w:t>
      </w:r>
    </w:p>
    <w:p w14:paraId="7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7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 </w:t>
      </w:r>
    </w:p>
    <w:p w14:paraId="7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Получатель субсидии представляет посредством системы «Электронный бюджет» отчет о достижении значения результата предоставления субсидии в соответствии с типовой формой, установленной Министерством финансов Российской Федерации, не позднее 10 рабоч</w:t>
      </w:r>
      <w:r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дн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месяца, следующего за месяцем заключения соглашения.</w:t>
      </w:r>
    </w:p>
    <w:p w14:paraId="7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  <w:r>
        <w:rPr>
          <w:rFonts w:ascii="Times New Roman" w:hAnsi="Times New Roman"/>
        </w:rPr>
        <w:t xml:space="preserve"> Министерство осуществляет проверку отчетности, устанавливает полноту и достоверность сведений, содержащихся в отчете в течение </w:t>
      </w:r>
      <w:r>
        <w:br/>
      </w:r>
      <w:r>
        <w:rPr>
          <w:rFonts w:ascii="Times New Roman" w:hAnsi="Times New Roman"/>
        </w:rPr>
        <w:t>30 рабочих дней со дня окончания срока его предоставления получателем субсидии.</w:t>
      </w:r>
    </w:p>
    <w:p w14:paraId="8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Отчет, указанный в части </w:t>
      </w:r>
      <w:r>
        <w:rPr>
          <w:rFonts w:ascii="Times New Roman" w:hAnsi="Times New Roman"/>
        </w:rPr>
        <w:t xml:space="preserve">19 </w:t>
      </w:r>
      <w:r>
        <w:rPr>
          <w:rFonts w:ascii="Times New Roman" w:hAnsi="Times New Roman"/>
        </w:rPr>
        <w:t xml:space="preserve">настоящего Порядка, считается принятым в случае отсутствия нарушений по результатам его проверки и подписания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руководителем Министерства (уполномоченным им лицом) в системе «Электронный бюджет» в течение срока, указанного в части </w:t>
      </w:r>
      <w:r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настоящего Порядка.</w:t>
      </w:r>
    </w:p>
    <w:p w14:paraId="8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Отчет, указанный в части </w:t>
      </w:r>
      <w:r>
        <w:rPr>
          <w:rFonts w:ascii="Times New Roman" w:hAnsi="Times New Roman"/>
        </w:rPr>
        <w:t xml:space="preserve">19 </w:t>
      </w:r>
      <w:r>
        <w:rPr>
          <w:rFonts w:ascii="Times New Roman" w:hAnsi="Times New Roman"/>
        </w:rPr>
        <w:t xml:space="preserve">настоящего Порядка, считается непринятым в случае выявления нарушений (некорректного заполнения </w:t>
      </w:r>
      <w:r>
        <w:br/>
      </w:r>
      <w:r>
        <w:rPr>
          <w:rFonts w:ascii="Times New Roman" w:hAnsi="Times New Roman"/>
        </w:rPr>
        <w:t xml:space="preserve">(не заполнения) получателем субсидии предусмотренных для заполнения граф; недостоверности сведений, содержащихся в отчете; непредставления полного пакета документов, информации, предусмотренной Порядком, необходимой для принятия решения об исполнении обязательств (показателей) по результатам их проверки и направления получателю субсидии в течение </w:t>
      </w:r>
      <w:r>
        <w:br/>
      </w:r>
      <w:r>
        <w:rPr>
          <w:rFonts w:ascii="Times New Roman" w:hAnsi="Times New Roman"/>
        </w:rPr>
        <w:t>5 рабочих дней со дня выявления нарушений посредством электронной связи и (или) системы «Электронный бюджет» уведомления о необходимости корректировки отчета с указанием причин отказа в принятии отчета в срок, установленный в уведомлении.</w:t>
      </w:r>
    </w:p>
    <w:p w14:paraId="82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23.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Федерации.</w:t>
      </w:r>
    </w:p>
    <w:p w14:paraId="8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 xml:space="preserve">24. </w:t>
      </w:r>
      <w:r>
        <w:rPr>
          <w:rFonts w:ascii="Times New Roman" w:hAnsi="Times New Roman"/>
          <w:shd w:themeFill="background1" w:val="clear"/>
        </w:rPr>
        <w:t>В случае выявленного, в том числе по фактам проверок, проведенных Министерством и (или) органами государственного финансового контроля нарушения получателем субсидии условий и порядка, установленных при предоставлении</w:t>
      </w:r>
      <w:r>
        <w:rPr>
          <w:rFonts w:ascii="Times New Roman" w:hAnsi="Times New Roman"/>
        </w:rPr>
        <w:t xml:space="preserve"> субсидии, а также в случае </w:t>
      </w:r>
      <w:r>
        <w:rPr>
          <w:rFonts w:ascii="Times New Roman" w:hAnsi="Times New Roman"/>
        </w:rPr>
        <w:t>недостижения</w:t>
      </w:r>
      <w:r>
        <w:rPr>
          <w:rFonts w:ascii="Times New Roman" w:hAnsi="Times New Roman"/>
        </w:rPr>
        <w:t xml:space="preserve"> значений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8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8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в иных случаях – в течение 20 рабочих дней со дня нарушения. </w:t>
      </w:r>
    </w:p>
    <w:p w14:paraId="8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>
        <w:rPr>
          <w:rFonts w:ascii="Times New Roman" w:hAnsi="Times New Roman"/>
        </w:rPr>
        <w:t>Получатель субсидии обязан возвратить субсидию в краевой бюджет в следующих размерах:</w:t>
      </w:r>
    </w:p>
    <w:p w14:paraId="8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нарушения цели предоставления субсидии – в размере нецелевого использования денежных средств;</w:t>
      </w:r>
    </w:p>
    <w:p w14:paraId="8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случае нарушения условий и порядка, установленных при предоставлении субсидии – в полном объеме;</w:t>
      </w:r>
    </w:p>
    <w:p w14:paraId="8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случае </w:t>
      </w:r>
      <w:r>
        <w:rPr>
          <w:rFonts w:ascii="Times New Roman" w:hAnsi="Times New Roman"/>
        </w:rPr>
        <w:t>недостижения</w:t>
      </w:r>
      <w:r>
        <w:rPr>
          <w:rFonts w:ascii="Times New Roman" w:hAnsi="Times New Roman"/>
        </w:rPr>
        <w:t xml:space="preserve"> значения результата предоставления субсидии, предусмотренного соглашением, – в размере, определенном по следующей формуле:</w:t>
      </w:r>
    </w:p>
    <w:p w14:paraId="8C000000">
      <w:pPr>
        <w:ind w:firstLine="709" w:left="0"/>
        <w:rPr>
          <w:rFonts w:ascii="Times New Roman" w:hAnsi="Times New Roman"/>
        </w:rPr>
      </w:pPr>
    </w:p>
    <w:p w14:paraId="8D000000">
      <w:pPr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субсидия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х (1 – Т / S) x С, где:</w:t>
      </w:r>
    </w:p>
    <w:p w14:paraId="8E000000">
      <w:pPr>
        <w:ind w:firstLine="709" w:left="0"/>
        <w:jc w:val="center"/>
        <w:rPr>
          <w:rFonts w:ascii="Times New Roman" w:hAnsi="Times New Roman"/>
        </w:rPr>
      </w:pPr>
    </w:p>
    <w:p w14:paraId="8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– размер субсидии, подлежащий возврату в краевой бюджет;</w:t>
      </w:r>
    </w:p>
    <w:p w14:paraId="9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субсидии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</w:rPr>
        <w:t>– размер субсидии, предоставленной получателю субсидии;</w:t>
      </w:r>
    </w:p>
    <w:p w14:paraId="9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Т – фактически достигнутое значение результата предоставления субсидии на отчетную дату;</w:t>
      </w:r>
    </w:p>
    <w:p w14:paraId="9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S – плановое значение результата предоставления субсидии, установленное соглашением.</w:t>
      </w:r>
    </w:p>
    <w:p w14:paraId="93000000">
      <w:pPr>
        <w:tabs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r>
        <w:rPr>
          <w:rFonts w:ascii="Times New Roman" w:hAnsi="Times New Roman"/>
        </w:rPr>
        <w:t xml:space="preserve">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20 рабочих дней со дня выявления нарушений,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14:paraId="9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При невозврате субсидии или ее части в сроки, установленные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частью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95000000">
      <w:pPr>
        <w:ind w:firstLine="709" w:left="0"/>
        <w:rPr>
          <w:rFonts w:ascii="Times New Roman" w:hAnsi="Times New Roman"/>
        </w:rPr>
      </w:pPr>
    </w:p>
    <w:p w14:paraId="96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Отбор получателей субсидии</w:t>
      </w:r>
    </w:p>
    <w:p w14:paraId="97000000">
      <w:pPr>
        <w:ind w:firstLine="709" w:left="0"/>
        <w:rPr>
          <w:rFonts w:ascii="Times New Roman" w:hAnsi="Times New Roman"/>
        </w:rPr>
      </w:pPr>
    </w:p>
    <w:p w14:paraId="9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>Отбор получателей субсидии осуществляется в системе «Электронный бюджет».</w:t>
      </w:r>
    </w:p>
    <w:p w14:paraId="9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>
        <w:rPr>
          <w:rFonts w:ascii="Times New Roman" w:hAnsi="Times New Roman"/>
        </w:rPr>
        <w:t xml:space="preserve">Информация о проведении отбора размещается 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"https://internet.garant.ru/document/redirect/26010116/524"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 – официальный сайт Министерства).</w:t>
      </w:r>
    </w:p>
    <w:p w14:paraId="9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>
        <w:rPr>
          <w:rFonts w:ascii="Times New Roman" w:hAnsi="Times New Roman"/>
        </w:rPr>
        <w:t>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9B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 xml:space="preserve">31. </w:t>
      </w:r>
      <w:r>
        <w:rPr>
          <w:rFonts w:ascii="Times New Roman" w:hAnsi="Times New Roman"/>
        </w:rPr>
        <w:t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9C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 xml:space="preserve">32. </w:t>
      </w:r>
      <w:r>
        <w:rPr>
          <w:rFonts w:ascii="Times New Roman" w:hAnsi="Times New Roman"/>
        </w:rPr>
        <w:t>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14:paraId="9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</w:t>
      </w:r>
      <w:r>
        <w:rPr>
          <w:rFonts w:ascii="Times New Roman" w:hAnsi="Times New Roman"/>
        </w:rPr>
        <w:t>К категории участников отбора относятся:</w:t>
      </w:r>
    </w:p>
    <w:p w14:paraId="9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юридические лица, (за исключением сельскохозяйственных кредитных потребительских кооперативов), индивидуальные предприниматели, а также крестьянские (фермерские) хозяйства в соответствии с 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"https://internet.garant.ru/#/document/12131264/entry/0"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Федеральным законом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от 11.06.2003 № 74-ФЗ «О крестьянском (фермерском) хозяйстве», осуществляющие производство сельскохозяйственной продукции, ее первичную и последующую (промышленную) переработку в отдаленных муниципальных образованиях в Камчатском крае;</w:t>
      </w:r>
    </w:p>
    <w:p w14:paraId="9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граждане, ведущие личное подсобное хозяйство в соответствии с Федеральным законом от 07.07.2003 № 112-ФЗ «О личном подсобном хозяйстве», в отдаленных муниципальных образованиях в Камчатском крае.</w:t>
      </w:r>
    </w:p>
    <w:p w14:paraId="A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34. Министерство в течение текущего финансового года, но не позднее, чем за 3 календарных дней до начала приема заявок, размещает на едином портале и официальном сайте Министерства объявление о проведении отбора (далее – объявление).</w:t>
      </w:r>
    </w:p>
    <w:p w14:paraId="A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35.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A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дата размещения объявления;</w:t>
      </w:r>
    </w:p>
    <w:p w14:paraId="A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сроки проведения отбора;</w:t>
      </w:r>
    </w:p>
    <w:p w14:paraId="A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дата начала подачи и окончания приема заявок;</w:t>
      </w:r>
    </w:p>
    <w:p w14:paraId="A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наименование, место нахождения, почтовый адрес, адрес электронной почты Министерства;</w:t>
      </w:r>
    </w:p>
    <w:p w14:paraId="A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результат предоставления субсидии, а также характеристика результата (при ее установлении); </w:t>
      </w:r>
    </w:p>
    <w:p w14:paraId="A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доменное имя и (или) указатели страниц официального сайта Министерства;</w:t>
      </w:r>
    </w:p>
    <w:p w14:paraId="A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 требования к участникам отбора, определенные в соответствии с частью 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настоящего Порядка, которым участник отбора должен соответствовать на дату рассмотрения заявки, и к перечню документов, представляемых участником отбора для подтверждения соответствия указанным требованиям;</w:t>
      </w:r>
    </w:p>
    <w:p w14:paraId="A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 категории и критерий отбора;</w:t>
      </w:r>
    </w:p>
    <w:p w14:paraId="A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 порядок подачи участниками отбора заявок и требования, предъявляемые к форме и содержанию заявок;</w:t>
      </w:r>
    </w:p>
    <w:p w14:paraId="A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A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11) правила рассмотрения и оценки заявок;</w:t>
      </w:r>
    </w:p>
    <w:p w14:paraId="A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12) порядок возврата на доработку;</w:t>
      </w:r>
    </w:p>
    <w:p w14:paraId="A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13) порядок отклонения заявок, а также информация об основаниях их отклонения;</w:t>
      </w:r>
    </w:p>
    <w:p w14:paraId="A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14) объем распределяемой субсидии в рамках отбора, порядок расчета размера</w:t>
      </w:r>
      <w:r>
        <w:rPr>
          <w:rFonts w:ascii="Times New Roman" w:hAnsi="Times New Roman"/>
        </w:rPr>
        <w:t xml:space="preserve"> субсидии, установленный частью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B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15)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B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16) срок, в течение которого победитель (победители) отбора должен подписать соглашение;</w:t>
      </w:r>
    </w:p>
    <w:p w14:paraId="B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17) условия признания победителя (победителей) отбора уклонившимся от заключения соглашения;</w:t>
      </w:r>
    </w:p>
    <w:p w14:paraId="B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18) срок размещения протокола подведения итогов отбора на едином портале и на официальном сайте Министерства;</w:t>
      </w:r>
    </w:p>
    <w:p w14:paraId="B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19) иную информацию, предусмотренную настоящим Порядком.</w:t>
      </w:r>
    </w:p>
    <w:p w14:paraId="B5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36. При необходимости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 и официальном сайте Министерства, решение о внесении изменений в объявление может быть принято не позднее чем за 3 календарных дня до даты окончания срока подачи заявок. </w:t>
      </w:r>
    </w:p>
    <w:p w14:paraId="B6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При этом срок подачи заявок должен быть продлен таким образом, чтобы с даты размещения таких изменений до даты окончания срока подачи заявок этот срок составлял не менее чем 3 календарных дня.</w:t>
      </w:r>
    </w:p>
    <w:p w14:paraId="B7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37. Заявки формируются участниками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14:paraId="B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 Участник отбора представляет не более одной заявки. </w:t>
      </w:r>
    </w:p>
    <w:p w14:paraId="B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39. Заявка содержит следующие сведения и документы:</w:t>
      </w:r>
    </w:p>
    <w:p w14:paraId="B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информацию об участнике отбора;</w:t>
      </w:r>
    </w:p>
    <w:p w14:paraId="B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документы, подтверждающие соответствие участника отбора требованиям, установленным в объявлении;</w:t>
      </w:r>
    </w:p>
    <w:p w14:paraId="B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и документы, представляемые при проведении отбора:</w:t>
      </w:r>
    </w:p>
    <w:p w14:paraId="B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 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B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 согласие на обработку персональных данных (для физических лиц) и согласие на обработку персональных данных в отношении руководителей участников отборов (для юридических лиц), подаваемое посредством заполнения соответствующих экранных форм веб-интерфейса системы «Электронный бюджет»</w:t>
      </w:r>
      <w:r>
        <w:rPr>
          <w:rFonts w:ascii="Times New Roman" w:hAnsi="Times New Roman"/>
          <w:color w:val="22272F"/>
        </w:rPr>
        <w:t>;</w:t>
      </w:r>
    </w:p>
    <w:p w14:paraId="B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14:paraId="C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утвержденным приказом Министерства сельского хозяйства Российской Федерации, и в сроки, установленные приказом Министерства, в случае если срок такого отчета еще не наступил (за исключением получателей субсидии, которые начали хозяйственную деятельность в году, предшествующем году предоставления субсидии) (для категории участников отбора, указанных в пункте 1 части </w:t>
      </w:r>
      <w:r>
        <w:rPr>
          <w:rFonts w:ascii="Times New Roman" w:hAnsi="Times New Roman"/>
        </w:rPr>
        <w:t xml:space="preserve">33 </w:t>
      </w:r>
      <w:r>
        <w:rPr>
          <w:rFonts w:ascii="Times New Roman" w:hAnsi="Times New Roman"/>
        </w:rPr>
        <w:t>настоящего Порядка);</w:t>
      </w:r>
    </w:p>
    <w:p w14:paraId="C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справка, подтверждающая применение участником отбора упрощенной системы налогообложения, либо копию налоговой декларации, за год, предшествующий году предоставления субсидии с отметкой налогового органа (предоставляется участниками отбора, применяющими упрощенную систему налогообложения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 случае </w:t>
      </w:r>
      <w:r>
        <w:rPr>
          <w:rFonts w:ascii="Times New Roman" w:hAnsi="Times New Roman"/>
        </w:rPr>
        <w:t>непредоставления</w:t>
      </w:r>
      <w:r>
        <w:rPr>
          <w:rFonts w:ascii="Times New Roman" w:hAnsi="Times New Roman"/>
        </w:rPr>
        <w:t xml:space="preserve"> данной справки</w:t>
      </w:r>
      <w:r>
        <w:rPr>
          <w:rFonts w:ascii="Times New Roman" w:hAnsi="Times New Roman"/>
        </w:rPr>
        <w:t xml:space="preserve"> либо копии налоговой декларации</w:t>
      </w:r>
      <w:r>
        <w:rPr>
          <w:rFonts w:ascii="Times New Roman" w:hAnsi="Times New Roman"/>
        </w:rPr>
        <w:t xml:space="preserve">, подтверждение расходов осуществляется без сумм </w:t>
      </w:r>
      <w:r>
        <w:rPr>
          <w:rFonts w:ascii="Times New Roman" w:hAnsi="Times New Roman"/>
        </w:rPr>
        <w:t>налога на добавленную стоимость</w:t>
      </w:r>
      <w:r>
        <w:rPr>
          <w:rFonts w:ascii="Times New Roman" w:hAnsi="Times New Roman"/>
        </w:rPr>
        <w:t xml:space="preserve">) (для категории участников отбора, указанных в пункте 1 части </w:t>
      </w:r>
      <w:r>
        <w:rPr>
          <w:rFonts w:ascii="Times New Roman" w:hAnsi="Times New Roman"/>
        </w:rPr>
        <w:t xml:space="preserve">33 </w:t>
      </w:r>
      <w:r>
        <w:rPr>
          <w:rFonts w:ascii="Times New Roman" w:hAnsi="Times New Roman"/>
        </w:rPr>
        <w:t>настоящего Порядка);</w:t>
      </w:r>
    </w:p>
    <w:p w14:paraId="C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 сведения из налогового органа об освобождении от исполнения обязанностей налогоплательщика, связанных с исчислением и уплатой </w:t>
      </w:r>
      <w:r>
        <w:rPr>
          <w:rFonts w:ascii="Times New Roman" w:hAnsi="Times New Roman"/>
        </w:rPr>
        <w:t xml:space="preserve">налога на добавленную стоимость </w:t>
      </w:r>
      <w:r>
        <w:rPr>
          <w:rFonts w:ascii="Times New Roman" w:hAnsi="Times New Roman"/>
        </w:rPr>
        <w:t>при этом дата выдачи указанного документа не должна быть ранее 30 рабочих дней до дня подачи заявки участником отбора (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случае </w:t>
      </w:r>
      <w:r>
        <w:rPr>
          <w:rFonts w:ascii="Times New Roman" w:hAnsi="Times New Roman"/>
        </w:rPr>
        <w:t>непредоставления</w:t>
      </w:r>
      <w:r>
        <w:rPr>
          <w:rFonts w:ascii="Times New Roman" w:hAnsi="Times New Roman"/>
        </w:rPr>
        <w:t xml:space="preserve"> данной справки, подтверждение расходов осуществляется без сумм </w:t>
      </w:r>
      <w:r>
        <w:rPr>
          <w:rFonts w:ascii="Times New Roman" w:hAnsi="Times New Roman"/>
        </w:rPr>
        <w:t>налога на добавленную стоимость</w:t>
      </w:r>
      <w:r>
        <w:rPr>
          <w:rFonts w:ascii="Times New Roman" w:hAnsi="Times New Roman"/>
        </w:rPr>
        <w:t xml:space="preserve">) (для категории участников отбора, указанных в пункте 1 части </w:t>
      </w:r>
      <w:r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настоящего Порядка);</w:t>
      </w:r>
    </w:p>
    <w:p w14:paraId="C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) выписка из </w:t>
      </w:r>
      <w:r>
        <w:rPr>
          <w:rFonts w:ascii="Times New Roman" w:hAnsi="Times New Roman"/>
        </w:rPr>
        <w:t>похозяйственной</w:t>
      </w:r>
      <w:r>
        <w:rPr>
          <w:rFonts w:ascii="Times New Roman" w:hAnsi="Times New Roman"/>
        </w:rPr>
        <w:t xml:space="preserve"> книги по форме, утвержденной приказом Министерства сельского хозяйства Российской Федерации от 27.09.2022 № 629 «Об утверждении формы и порядка ведения </w:t>
      </w:r>
      <w:r>
        <w:rPr>
          <w:rFonts w:ascii="Times New Roman" w:hAnsi="Times New Roman"/>
        </w:rPr>
        <w:t>похозяйственных</w:t>
      </w:r>
      <w:r>
        <w:rPr>
          <w:rFonts w:ascii="Times New Roman" w:hAnsi="Times New Roman"/>
        </w:rPr>
        <w:t xml:space="preserve"> книг»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(подразделы I, II, IV раздела I выписки из </w:t>
      </w:r>
      <w:r>
        <w:rPr>
          <w:rFonts w:ascii="Times New Roman" w:hAnsi="Times New Roman"/>
        </w:rPr>
        <w:t>похозяйственной</w:t>
      </w:r>
      <w:r>
        <w:rPr>
          <w:rFonts w:ascii="Times New Roman" w:hAnsi="Times New Roman"/>
        </w:rPr>
        <w:t xml:space="preserve"> книги), при этом дата выдачи выписки из </w:t>
      </w:r>
      <w:r>
        <w:rPr>
          <w:rFonts w:ascii="Times New Roman" w:hAnsi="Times New Roman"/>
        </w:rPr>
        <w:t>похозяйственной</w:t>
      </w:r>
      <w:r>
        <w:rPr>
          <w:rFonts w:ascii="Times New Roman" w:hAnsi="Times New Roman"/>
        </w:rPr>
        <w:t xml:space="preserve"> книги не должна быть ранее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30 рабочих дней до дня подачи заявки участником отбора (для категории участника отбор</w:t>
      </w:r>
      <w:r>
        <w:rPr>
          <w:rFonts w:ascii="Times New Roman" w:hAnsi="Times New Roman"/>
        </w:rPr>
        <w:t xml:space="preserve">а, указанного в пункте 2 части </w:t>
      </w:r>
      <w:r>
        <w:rPr>
          <w:rFonts w:ascii="Times New Roman" w:hAnsi="Times New Roman"/>
        </w:rPr>
        <w:t xml:space="preserve">33 </w:t>
      </w:r>
      <w:r>
        <w:rPr>
          <w:rFonts w:ascii="Times New Roman" w:hAnsi="Times New Roman"/>
        </w:rPr>
        <w:t>настоящего Порядка);</w:t>
      </w:r>
    </w:p>
    <w:p w14:paraId="C4000000">
      <w:pPr>
        <w:ind w:firstLine="709" w:left="0"/>
        <w:rPr>
          <w:rFonts w:ascii="Times New Roman" w:hAnsi="Times New Roman"/>
          <w:strike w:val="1"/>
          <w:color w:val="C00000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) справка ветеринарной службы </w:t>
      </w:r>
      <w:r>
        <w:rPr>
          <w:rFonts w:ascii="Times New Roman" w:hAnsi="Times New Roman"/>
        </w:rPr>
        <w:t>о наличии поголовья сельскохозяйственных животных на первое число месяца заявленного периода</w:t>
      </w:r>
      <w:r>
        <w:rPr>
          <w:rFonts w:ascii="Times New Roman" w:hAnsi="Times New Roman"/>
        </w:rPr>
        <w:t>;</w:t>
      </w:r>
    </w:p>
    <w:p w14:paraId="C5000000">
      <w:pPr>
        <w:ind w:firstLine="709" w:left="0"/>
        <w:rPr>
          <w:rFonts w:ascii="Times New Roman" w:hAnsi="Times New Roman"/>
          <w:strike w:val="1"/>
          <w:color w:val="C00000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) документы </w:t>
      </w:r>
      <w:r>
        <w:rPr>
          <w:rFonts w:ascii="Times New Roman" w:hAnsi="Times New Roman"/>
        </w:rPr>
        <w:t>(накладная или счет-фактура, акт выполненных работ, платежные документы), подтверждающи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проведение убоя сельскохозяйственных животных в специализированном месте убоя животных</w:t>
      </w:r>
      <w:r>
        <w:rPr>
          <w:rFonts w:ascii="Times New Roman" w:hAnsi="Times New Roman"/>
        </w:rPr>
        <w:t>;</w:t>
      </w:r>
    </w:p>
    <w:p w14:paraId="C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) </w:t>
      </w:r>
      <w:r>
        <w:rPr>
          <w:rFonts w:ascii="Times New Roman" w:hAnsi="Times New Roman"/>
        </w:rPr>
        <w:t>копии ветеринарных документов о проведении клинического осмотра сельскохозяйственных животных, направляемых на уб</w:t>
      </w:r>
      <w:r>
        <w:rPr>
          <w:rFonts w:ascii="Times New Roman" w:hAnsi="Times New Roman"/>
        </w:rPr>
        <w:t>ой (ветеринарные справки формы №</w:t>
      </w:r>
      <w:r>
        <w:rPr>
          <w:rFonts w:ascii="Times New Roman" w:hAnsi="Times New Roman"/>
        </w:rPr>
        <w:t xml:space="preserve"> 4 (оформляются при производстве, обороте, а также перевозке подконтрольных товаров в пределах района (города) либо ветеринарные свидетел</w:t>
      </w:r>
      <w:r>
        <w:rPr>
          <w:rFonts w:ascii="Times New Roman" w:hAnsi="Times New Roman"/>
        </w:rPr>
        <w:t>ьства формы №</w:t>
      </w:r>
      <w:r>
        <w:rPr>
          <w:rFonts w:ascii="Times New Roman" w:hAnsi="Times New Roman"/>
        </w:rPr>
        <w:t xml:space="preserve"> 1 (оформляется на живых животных, биологические объекты), оформленны</w:t>
      </w:r>
      <w:r>
        <w:rPr>
          <w:rFonts w:ascii="Times New Roman" w:hAnsi="Times New Roman"/>
        </w:rPr>
        <w:t>е в соответствии с приложением №</w:t>
      </w:r>
      <w:r>
        <w:rPr>
          <w:rFonts w:ascii="Times New Roman" w:hAnsi="Times New Roman"/>
        </w:rPr>
        <w:t xml:space="preserve"> 2 к Порядку оформления ветеринарных сопроводительных документов на бумажных носителях, утвержденному Приказом Минсельхоза России от 13.12.202</w:t>
      </w:r>
      <w:r>
        <w:rPr>
          <w:rFonts w:ascii="Times New Roman" w:hAnsi="Times New Roman"/>
        </w:rPr>
        <w:t>2 № 862 «</w:t>
      </w:r>
      <w:r>
        <w:rPr>
          <w:rFonts w:ascii="Times New Roman" w:hAnsi="Times New Roman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</w:t>
      </w:r>
      <w:r>
        <w:rPr>
          <w:rFonts w:ascii="Times New Roman" w:hAnsi="Times New Roman"/>
        </w:rPr>
        <w:t>нтов на бумажных носителях»</w:t>
      </w:r>
      <w:r>
        <w:rPr>
          <w:rFonts w:ascii="Times New Roman" w:hAnsi="Times New Roman"/>
        </w:rPr>
        <w:t>);</w:t>
      </w:r>
    </w:p>
    <w:p w14:paraId="C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) справка-расчет на предоставление субсидии по форме согласно </w:t>
      </w:r>
      <w:r>
        <w:rPr>
          <w:rFonts w:ascii="Times New Roman" w:hAnsi="Times New Roman"/>
        </w:rPr>
        <w:t>приложению</w:t>
      </w:r>
      <w:r>
        <w:rPr>
          <w:rFonts w:ascii="Times New Roman" w:hAnsi="Times New Roman"/>
        </w:rPr>
        <w:t xml:space="preserve"> к настоящему Порядку.</w:t>
      </w:r>
    </w:p>
    <w:p w14:paraId="C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 Заявка подписывается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участника отбора или уполномоченного им лица.</w:t>
      </w:r>
    </w:p>
    <w:p w14:paraId="C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</w:t>
      </w:r>
      <w:r>
        <w:rPr>
          <w:rFonts w:ascii="Times New Roman" w:hAnsi="Times New Roman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CA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C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42.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hd w:themeFill="background1" w:val="clear"/>
        </w:rPr>
        <w:t>Ответственность за полноту и достоверность информации и докумен</w:t>
      </w:r>
      <w:r>
        <w:rPr>
          <w:rFonts w:ascii="Times New Roman" w:hAnsi="Times New Roman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C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</w:t>
      </w:r>
      <w:r>
        <w:rPr>
          <w:rFonts w:ascii="Times New Roman" w:hAnsi="Times New Roman"/>
        </w:rPr>
        <w:t xml:space="preserve">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указанной заявки с присвоением ей регистрационного номера в системе «Электронный бюджет».</w:t>
      </w:r>
    </w:p>
    <w:p w14:paraId="C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</w:rPr>
        <w:t xml:space="preserve">Дата окончания приема заявок участников отбора, указанная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пункте 3 части 35 настоящего Порядка, не может быть ранее:</w:t>
      </w:r>
    </w:p>
    <w:p w14:paraId="C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критер</w:t>
      </w:r>
      <w:r>
        <w:rPr>
          <w:rFonts w:ascii="Times New Roman" w:hAnsi="Times New Roman"/>
          <w:shd w:themeFill="background1" w:val="clear"/>
        </w:rPr>
        <w:t>ию</w:t>
      </w:r>
      <w:r>
        <w:rPr>
          <w:rFonts w:ascii="Times New Roman" w:hAnsi="Times New Roman"/>
        </w:rPr>
        <w:t xml:space="preserve"> отбора;</w:t>
      </w:r>
    </w:p>
    <w:p w14:paraId="C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критери</w:t>
      </w:r>
      <w:r>
        <w:rPr>
          <w:rFonts w:ascii="Times New Roman" w:hAnsi="Times New Roman"/>
          <w:shd w:themeFill="background1" w:val="clear"/>
        </w:rPr>
        <w:t>ю</w:t>
      </w:r>
      <w:r>
        <w:rPr>
          <w:rFonts w:ascii="Times New Roman" w:hAnsi="Times New Roman"/>
        </w:rPr>
        <w:t xml:space="preserve"> отбора.</w:t>
      </w:r>
    </w:p>
    <w:p w14:paraId="D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45. Участник отбора, подавший заявку, вправе отозвать заявку в срок не позднее дня окончания срока приема заявок путем отзыва заявки в си</w:t>
      </w:r>
      <w:r>
        <w:rPr>
          <w:rFonts w:ascii="Times New Roman" w:hAnsi="Times New Roman"/>
        </w:rPr>
        <w:t>стеме «Электронный бюджет».</w:t>
      </w:r>
    </w:p>
    <w:p w14:paraId="D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37 настоящего Порядка. При этом ранее поданная заявка считается отозванной.</w:t>
      </w:r>
    </w:p>
    <w:p w14:paraId="D2000000">
      <w:pPr>
        <w:ind w:firstLine="709" w:left="0"/>
        <w:rPr>
          <w:rFonts w:ascii="Times New Roman" w:hAnsi="Times New Roman"/>
          <w:strike w:val="1"/>
          <w:shd w:fill="92FF99" w:val="clear"/>
        </w:rPr>
      </w:pPr>
      <w:r>
        <w:rPr>
          <w:rFonts w:ascii="Times New Roman" w:hAnsi="Times New Roman"/>
        </w:rPr>
        <w:t xml:space="preserve">46. 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системе «Электронный бюджет» соответствующего уведомления, в течение 1 рабочего дня со дня их принятия с указанием оснований для возврата заявки, а также положений заявки, </w:t>
      </w:r>
      <w:r>
        <w:rPr>
          <w:rFonts w:ascii="Times New Roman" w:hAnsi="Times New Roman"/>
          <w:shd w:themeFill="background1" w:val="clear"/>
        </w:rPr>
        <w:t>нуждающихся в доработке.</w:t>
      </w:r>
    </w:p>
    <w:p w14:paraId="D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14:paraId="D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D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47.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D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48. Министерство в ответ на запрос, указанный в части 47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D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D8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themeFill="background1" w:val="clear"/>
        </w:rPr>
        <w:t xml:space="preserve">49.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hd w:themeFill="background1" w:val="clear"/>
        </w:rPr>
        <w:br/>
      </w:r>
      <w:r>
        <w:rPr>
          <w:rFonts w:ascii="Times New Roman" w:hAnsi="Times New Roman"/>
          <w:shd w:themeFill="background1" w:val="clear"/>
        </w:rPr>
        <w:t>1 рабочего дня, следующего за днем его подписания.</w:t>
      </w:r>
    </w:p>
    <w:p w14:paraId="D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 xml:space="preserve">50. Министерство в течение 15 рабочих дней со дня подписания протокола вскрытия заявок осуществляет проверку участника </w:t>
      </w:r>
      <w:r>
        <w:rPr>
          <w:rFonts w:ascii="Times New Roman" w:hAnsi="Times New Roman"/>
        </w:rPr>
        <w:t>отбора на соответствие тр</w:t>
      </w:r>
      <w:r>
        <w:rPr>
          <w:rFonts w:ascii="Times New Roman" w:hAnsi="Times New Roman"/>
        </w:rPr>
        <w:t>ебованиям, установленным частью</w:t>
      </w:r>
      <w:r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 xml:space="preserve"> настоящего Порядка, а также устанавливает полноту и достоверность сведений, содержащихся в прилагаемых к заявке документах:</w:t>
      </w:r>
    </w:p>
    <w:p w14:paraId="D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пунктами 1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  <w:u w:color="000000"/>
        </w:rPr>
        <w:t xml:space="preserve"> и 2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 настоящего Порядка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(при наличии технической возможности автоматической проверки);</w:t>
      </w:r>
    </w:p>
    <w:p w14:paraId="D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в соответствии с пунктами 3 и 4 части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D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пунктами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5 и 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6 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14:paraId="D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51. Подтверждение соответствия участника отбора требованиям, определенным в части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в течение 15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веб-интерфейса системы «Электронный бюджет».</w:t>
      </w:r>
    </w:p>
    <w:p w14:paraId="D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 xml:space="preserve">52. 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 установленным в </w:t>
      </w:r>
      <w:r>
        <w:rPr>
          <w:rFonts w:ascii="Times New Roman" w:hAnsi="Times New Roman"/>
          <w:u w:color="000000"/>
          <w:shd w:themeFill="background1" w:val="clear"/>
        </w:rPr>
        <w:fldChar w:fldCharType="begin"/>
      </w:r>
      <w:r>
        <w:rPr>
          <w:rFonts w:ascii="Times New Roman" w:hAnsi="Times New Roman"/>
          <w:u w:color="000000"/>
          <w:shd w:themeFill="background1" w:val="clear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  <w:shd w:themeFill="background1" w:val="clear"/>
        </w:rPr>
        <w:fldChar w:fldCharType="separate"/>
      </w:r>
      <w:r>
        <w:rPr>
          <w:rFonts w:ascii="Times New Roman" w:hAnsi="Times New Roman"/>
          <w:u w:color="000000"/>
          <w:shd w:themeFill="background1" w:val="clear"/>
        </w:rPr>
        <w:t>пунктах 1</w:t>
      </w:r>
      <w:r>
        <w:rPr>
          <w:rFonts w:ascii="Times New Roman" w:hAnsi="Times New Roman"/>
          <w:u w:color="000000"/>
          <w:shd w:themeFill="background1" w:val="clear"/>
        </w:rPr>
        <w:fldChar w:fldCharType="end"/>
      </w:r>
      <w:r>
        <w:rPr>
          <w:rFonts w:ascii="Times New Roman" w:hAnsi="Times New Roman"/>
          <w:u w:color="000000"/>
          <w:shd w:themeFill="background1" w:val="clear"/>
        </w:rPr>
        <w:t xml:space="preserve"> и 2</w:t>
      </w:r>
      <w:r>
        <w:rPr>
          <w:rFonts w:ascii="Times New Roman" w:hAnsi="Times New Roman"/>
          <w:shd w:themeFill="background1" w:val="clear"/>
        </w:rPr>
        <w:t xml:space="preserve"> части 6 настоящего Порядка требованиям, соответствующие сведения запрашиваются Министерством в течение 15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</w:t>
      </w:r>
      <w:r>
        <w:rPr>
          <w:rFonts w:ascii="Times New Roman" w:hAnsi="Times New Roman"/>
        </w:rPr>
        <w:t xml:space="preserve">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14:paraId="D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53. Министерство в целях подтверждения соответствия получателя субсидии (участника отбора) установленным требованиям, определенным в части </w:t>
      </w: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E0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54.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E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E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55. Основаниями для отклонения заявок являются:</w:t>
      </w:r>
    </w:p>
    <w:p w14:paraId="E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несоответствие участника отбора требованиям, указанным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части 6 настоящего Порядка;</w:t>
      </w:r>
    </w:p>
    <w:p w14:paraId="E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непредставление (представление не в полном объеме) документов, указанных в объявлении;</w:t>
      </w:r>
    </w:p>
    <w:p w14:paraId="E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14:paraId="E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недостоверность информации, содержащейся в документах, представленных участником отбора в составе заявки;</w:t>
      </w:r>
    </w:p>
    <w:p w14:paraId="E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 подача участником отбора заявки после даты и (или) времени, определенных для подачи заявок;</w:t>
      </w:r>
    </w:p>
    <w:p w14:paraId="E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14:paraId="E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56. При необходимости получения информации и документов от </w:t>
      </w:r>
      <w:r>
        <w:rPr>
          <w:rFonts w:ascii="Times New Roman" w:hAnsi="Times New Roman"/>
          <w:shd w:themeFill="background1" w:val="clear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>
        <w:rPr>
          <w:rFonts w:ascii="Times New Roman" w:hAnsi="Times New Roman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E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57. В запросе, указанном в части 56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 рабочих дней со дня, следующего за днем направления соответствующего запроса.</w:t>
      </w:r>
    </w:p>
    <w:p w14:paraId="E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58. Участник отбора формирует и представляет в системе «Электронный бюджет» информацию и документы, запрашиваемые в соответствии с частью 56 настоящего Порядка, в сроки, установленные соответствующим запросом с учетом положений части 57 настоящего Порядка.</w:t>
      </w:r>
    </w:p>
    <w:p w14:paraId="E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59. В случае если участник отбора в ответ на запрос, указанный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части 56 настоящего Порядка, не представил запрашиваемые документы и информацию в срок, установленный соответствующим запросом с учетом положений части 57 настоящего Порядка, информация об этом включается в протокол подведения итогов отбора, предусмотренный частью 65 настоящего Порядка.</w:t>
      </w:r>
    </w:p>
    <w:p w14:paraId="E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60.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E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E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61.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F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62. Участники отбора, подавшие заявки, информируются об отмене проведения отбора в системе «Электронный бюджет».</w:t>
      </w:r>
    </w:p>
    <w:p w14:paraId="F1000000">
      <w:pPr>
        <w:spacing w:line="264" w:lineRule="auto"/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63. Отбор признается несостоявшимся в следующих случаях:</w:t>
      </w:r>
    </w:p>
    <w:p w14:paraId="F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по окончании срока подачи заявок не подано ни одной заявки;</w:t>
      </w:r>
    </w:p>
    <w:p w14:paraId="F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по результатам рассмотрения заявок отклонены все заявки.</w:t>
      </w:r>
    </w:p>
    <w:p w14:paraId="F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64. Победителями отбора признаются участники отбора, соответствующие категории, критерию 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</w:t>
      </w:r>
      <w:r>
        <w:rPr>
          <w:rFonts w:ascii="Times New Roman" w:hAnsi="Times New Roman"/>
        </w:rPr>
        <w:t>редельного количества победителей отбора.</w:t>
      </w:r>
    </w:p>
    <w:p w14:paraId="F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Ранжирование поступивших заявок определяется, исходя из очередности поступления заявок. </w:t>
      </w:r>
    </w:p>
    <w:p w14:paraId="F6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65. В целях завершения отбора и определения победителей отбора формируется протокол подведения итог</w:t>
      </w:r>
      <w:r>
        <w:rPr>
          <w:rFonts w:ascii="Times New Roman" w:hAnsi="Times New Roman"/>
          <w:shd w:themeFill="background1" w:val="clear"/>
        </w:rPr>
        <w:t>ов отбора.</w:t>
      </w:r>
    </w:p>
    <w:p w14:paraId="F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 xml:space="preserve"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</w:t>
      </w:r>
      <w:r>
        <w:rPr>
          <w:rFonts w:ascii="Times New Roman" w:hAnsi="Times New Roman"/>
          <w:shd w:themeFill="background1" w:val="clear"/>
        </w:rPr>
        <w:t>9</w:t>
      </w:r>
      <w:r>
        <w:rPr>
          <w:rFonts w:ascii="Times New Roman" w:hAnsi="Times New Roman"/>
          <w:shd w:themeFill="background1" w:val="clear"/>
        </w:rPr>
        <w:t xml:space="preserve"> настоящего Порядка, Минист</w:t>
      </w:r>
      <w:r>
        <w:rPr>
          <w:rFonts w:ascii="Times New Roman" w:hAnsi="Times New Roman"/>
        </w:rPr>
        <w:t>ерство корректирует размер субсидии, предусмотренной для предоставления такому участнику отбора, но не выше размера, указанного им в заявке.</w:t>
      </w:r>
    </w:p>
    <w:p w14:paraId="F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66. 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>
        <w:rPr>
          <w:rFonts w:ascii="Times New Roman" w:hAnsi="Times New Roman"/>
          <w:shd w:themeFill="background1" w:val="clear"/>
        </w:rPr>
        <w:t xml:space="preserve">подписывается усиленной квалифицированной электронной </w:t>
      </w:r>
      <w:r>
        <w:rPr>
          <w:rFonts w:ascii="Times New Roman" w:hAnsi="Times New Roman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1 рабочего дня, следующего за днем его подписания и включает следующие сведения:</w:t>
      </w:r>
    </w:p>
    <w:p w14:paraId="F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14:paraId="F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14:paraId="F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FC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FD000000">
      <w:pPr>
        <w:ind w:firstLine="0" w:left="4961"/>
        <w:rPr>
          <w:rFonts w:ascii="Times New Roman" w:hAnsi="Times New Roman"/>
          <w:color w:val="00B050"/>
        </w:rPr>
      </w:pPr>
    </w:p>
    <w:p w14:paraId="FE00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FF00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0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1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2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3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4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5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6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7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8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9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A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B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C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D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E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0F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0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1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2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3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4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5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6010000">
      <w:pPr>
        <w:ind w:firstLine="0" w:left="4248"/>
        <w:jc w:val="right"/>
        <w:rPr>
          <w:rFonts w:ascii="Times New Roman" w:hAnsi="Times New Roman"/>
          <w:color w:val="00B050"/>
        </w:rPr>
      </w:pPr>
    </w:p>
    <w:p w14:paraId="17010000">
      <w:pPr>
        <w:ind w:firstLine="0" w:left="524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</w:rPr>
        <w:t xml:space="preserve">Приложение к Порядку предоставления субсидии на возмещение затрат, связанных с </w:t>
      </w:r>
      <w:r>
        <w:rPr>
          <w:rFonts w:ascii="Times New Roman" w:hAnsi="Times New Roman"/>
        </w:rPr>
        <w:t>убоем</w:t>
      </w:r>
      <w:r>
        <w:rPr>
          <w:rFonts w:ascii="Times New Roman" w:hAnsi="Times New Roman"/>
        </w:rPr>
        <w:t xml:space="preserve"> сельскохозяйственных животных в специализированном месте убоя животных</w:t>
      </w:r>
      <w:r>
        <w:rPr>
          <w:rFonts w:ascii="Times New Roman" w:hAnsi="Times New Roman"/>
        </w:rPr>
        <w:t>, и проведения отбора получателей субсидии</w:t>
      </w:r>
    </w:p>
    <w:p w14:paraId="18010000">
      <w:pPr>
        <w:spacing w:after="108" w:before="108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19010000">
      <w:pPr>
        <w:spacing w:after="108" w:before="108"/>
        <w:ind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Справка-расчет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на получение в ____ квартале 20 ____ года субсидии на возмещение затрат, связанных с </w:t>
      </w:r>
      <w:r>
        <w:rPr>
          <w:rFonts w:ascii="Times New Roman" w:hAnsi="Times New Roman"/>
        </w:rPr>
        <w:t>убо</w:t>
      </w:r>
      <w:r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сельскохозяйственных животных в специализированном месте убоя животных</w:t>
      </w:r>
    </w:p>
    <w:p w14:paraId="1A010000">
      <w:pPr>
        <w:ind w:firstLine="720" w:left="0"/>
        <w:rPr>
          <w:rFonts w:ascii="Times New Roman" w:hAnsi="Times New Roman"/>
          <w:sz w:val="24"/>
        </w:rPr>
      </w:pPr>
    </w:p>
    <w:p w14:paraId="1B010000">
      <w:pPr>
        <w:ind w:firstLine="72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</w:p>
    <w:p w14:paraId="1C010000">
      <w:pPr>
        <w:ind w:firstLine="720" w:left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(полное и (или) сокращенное наименования получателя субсидии)</w:t>
      </w:r>
    </w:p>
    <w:p w14:paraId="1D010000">
      <w:pPr>
        <w:ind w:firstLine="720" w:left="0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261"/>
        <w:gridCol w:w="963"/>
        <w:gridCol w:w="1985"/>
        <w:gridCol w:w="1701"/>
        <w:gridCol w:w="1729"/>
      </w:tblGrid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голов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затраты, </w:t>
            </w:r>
            <w:r>
              <w:rPr>
                <w:rFonts w:ascii="Times New Roman" w:hAnsi="Times New Roman"/>
                <w:sz w:val="24"/>
              </w:rPr>
              <w:t>понесенные при</w:t>
            </w:r>
            <w:r>
              <w:rPr>
                <w:rFonts w:ascii="Times New Roman" w:hAnsi="Times New Roman"/>
                <w:sz w:val="24"/>
              </w:rPr>
              <w:t xml:space="preserve"> убое сельскохозяйственных животных в специализированном месте убоя животных (</w:t>
            </w:r>
            <w:r>
              <w:rPr>
                <w:rFonts w:ascii="Times New Roman" w:hAnsi="Times New Roman"/>
                <w:sz w:val="24"/>
              </w:rPr>
              <w:t>тыс.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</w:t>
            </w:r>
          </w:p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азмер субсидии </w:t>
            </w: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(3х4)</w:t>
            </w: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rPr>
                <w:rFonts w:ascii="Times New Roman" w:hAnsi="Times New Roman"/>
              </w:rPr>
            </w:pPr>
            <w:bookmarkStart w:id="1" w:name="_GoBack"/>
            <w:r>
              <w:rPr>
                <w:rFonts w:ascii="Times New Roman" w:hAnsi="Times New Roman"/>
              </w:rPr>
              <w:t>Свиньи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Мелкий рогатый скот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Крупный рогатый скот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Лошади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rFonts w:ascii="Times New Roman" w:hAnsi="Times New Roman"/>
              </w:rPr>
            </w:pPr>
            <w:bookmarkEnd w:id="1"/>
          </w:p>
        </w:tc>
      </w:tr>
    </w:tbl>
    <w:p w14:paraId="42010000">
      <w:pPr>
        <w:ind w:firstLine="720" w:left="0"/>
        <w:rPr>
          <w:rFonts w:ascii="Times New Roman" w:hAnsi="Times New Roman"/>
        </w:rPr>
      </w:pPr>
    </w:p>
    <w:p w14:paraId="43010000">
      <w:pPr>
        <w:ind w:firstLine="720" w:left="0"/>
        <w:rPr>
          <w:rFonts w:ascii="Times New Roman" w:hAnsi="Times New Roman"/>
        </w:rPr>
      </w:pPr>
    </w:p>
    <w:p w14:paraId="44010000">
      <w:pPr>
        <w:rPr>
          <w:rFonts w:ascii="Times New Roman" w:hAnsi="Times New Roman"/>
        </w:rPr>
      </w:pPr>
      <w:r>
        <w:rPr>
          <w:rFonts w:ascii="Times New Roman" w:hAnsi="Times New Roman"/>
        </w:rPr>
        <w:t>Получатель субсидии ____________(подпись) (Ф.И.О. (при наличии)</w:t>
      </w:r>
    </w:p>
    <w:p w14:paraId="45010000">
      <w:pPr>
        <w:rPr>
          <w:rFonts w:ascii="Times New Roman" w:hAnsi="Times New Roman"/>
        </w:rPr>
      </w:pPr>
    </w:p>
    <w:p w14:paraId="46010000">
      <w:pPr>
        <w:rPr>
          <w:rFonts w:ascii="Times New Roman" w:hAnsi="Times New Roman"/>
        </w:rPr>
      </w:pPr>
      <w:r>
        <w:rPr>
          <w:rFonts w:ascii="Times New Roman" w:hAnsi="Times New Roman"/>
        </w:rPr>
        <w:t>МП (при наличии)</w:t>
      </w:r>
    </w:p>
    <w:p w14:paraId="47010000">
      <w:pPr>
        <w:rPr>
          <w:rFonts w:ascii="Times New Roman" w:hAnsi="Times New Roman"/>
        </w:rPr>
      </w:pPr>
    </w:p>
    <w:p w14:paraId="48010000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(при наличии) исполнителя _________</w:t>
      </w:r>
    </w:p>
    <w:p w14:paraId="49010000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</w:t>
      </w:r>
    </w:p>
    <w:p w14:paraId="4A010000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__________ 20 ____г.».</w:t>
      </w:r>
    </w:p>
    <w:p w14:paraId="4B010000">
      <w:pPr>
        <w:ind w:firstLine="720" w:left="0"/>
        <w:rPr>
          <w:rFonts w:ascii="Arial" w:hAnsi="Arial"/>
        </w:rPr>
      </w:pPr>
    </w:p>
    <w:p w14:paraId="4C010000">
      <w:pPr>
        <w:ind w:firstLine="720" w:left="0"/>
        <w:rPr>
          <w:rFonts w:ascii="Arial" w:hAnsi="Arial"/>
          <w:sz w:val="24"/>
        </w:rPr>
      </w:pPr>
    </w:p>
    <w:p w14:paraId="4D010000"/>
    <w:sectPr>
      <w:headerReference r:id="rId1" w:type="default"/>
      <w:pgSz w:h="16848" w:orient="portrait" w:w="11908"/>
      <w:pgMar w:bottom="1134" w:footer="720" w:gutter="0" w:header="720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  <w:jc w:val="both"/>
    </w:pPr>
    <w:rPr>
      <w:rFonts w:ascii="XO Thames" w:hAnsi="XO Thames"/>
      <w:sz w:val="28"/>
    </w:rPr>
  </w:style>
  <w:style w:default="1" w:styleId="Style_4_ch" w:type="character">
    <w:name w:val="Normal"/>
    <w:link w:val="Style_4"/>
    <w:rPr>
      <w:rFonts w:ascii="XO Thames" w:hAnsi="XO Thames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  <w:rPr>
      <w:rFonts w:ascii="XO Thames" w:hAnsi="XO Thames"/>
      <w:sz w:val="28"/>
    </w:rPr>
  </w:style>
  <w:style w:styleId="Style_14_ch" w:type="character">
    <w:name w:val="Обычный1"/>
    <w:link w:val="Style_1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Обычный1"/>
    <w:link w:val="Style_16_ch"/>
    <w:rPr>
      <w:rFonts w:ascii="XO Thames" w:hAnsi="XO Thames"/>
      <w:sz w:val="28"/>
    </w:rPr>
  </w:style>
  <w:style w:styleId="Style_16_ch" w:type="character">
    <w:name w:val="Обычный1"/>
    <w:link w:val="Style_16"/>
    <w:rPr>
      <w:rFonts w:ascii="XO Thames" w:hAnsi="XO Thames"/>
      <w:sz w:val="28"/>
    </w:rPr>
  </w:style>
  <w:style w:styleId="Style_17" w:type="paragraph">
    <w:name w:val="Обычный1"/>
    <w:link w:val="Style_17_ch"/>
    <w:rPr>
      <w:rFonts w:ascii="XO Thames" w:hAnsi="XO Thames"/>
      <w:sz w:val="28"/>
    </w:rPr>
  </w:style>
  <w:style w:styleId="Style_17_ch" w:type="character">
    <w:name w:val="Обычный1"/>
    <w:link w:val="Style_1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List Paragraph"/>
    <w:basedOn w:val="Style_4"/>
    <w:link w:val="Style_27_ch"/>
    <w:pPr>
      <w:ind w:firstLine="0" w:left="720"/>
      <w:contextualSpacing w:val="1"/>
    </w:pPr>
  </w:style>
  <w:style w:styleId="Style_27_ch" w:type="character">
    <w:name w:val="List Paragraph"/>
    <w:basedOn w:val="Style_4_ch"/>
    <w:link w:val="Style_27"/>
  </w:style>
  <w:style w:styleId="Style_28" w:type="paragraph">
    <w:name w:val="s_1"/>
    <w:basedOn w:val="Style_4"/>
    <w:link w:val="Style_28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8_ch" w:type="character">
    <w:name w:val="s_1"/>
    <w:basedOn w:val="Style_4_ch"/>
    <w:link w:val="Style_28"/>
    <w:rPr>
      <w:rFonts w:ascii="Times New Roman" w:hAnsi="Times New Roman"/>
      <w:sz w:val="24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Нормальный (таблица)"/>
    <w:basedOn w:val="Style_4"/>
    <w:next w:val="Style_4"/>
    <w:link w:val="Style_38_ch"/>
    <w:pPr>
      <w:widowControl w:val="0"/>
      <w:ind/>
    </w:pPr>
    <w:rPr>
      <w:rFonts w:ascii="Arial" w:hAnsi="Arial"/>
      <w:color w:val="000000"/>
      <w:sz w:val="26"/>
    </w:rPr>
  </w:style>
  <w:style w:styleId="Style_38_ch" w:type="character">
    <w:name w:val="Нормальный (таблица)"/>
    <w:basedOn w:val="Style_4_ch"/>
    <w:link w:val="Style_38"/>
    <w:rPr>
      <w:rFonts w:ascii="Arial" w:hAnsi="Arial"/>
      <w:color w:val="000000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2024-11-05T03:44:30Z</dcterms:modified>
</cp:coreProperties>
</file>