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ind/>
        <w:jc w:val="center"/>
      </w:pPr>
      <w:r>
        <w:t xml:space="preserve">Протокол </w:t>
      </w:r>
    </w:p>
    <w:p w14:paraId="05000000">
      <w:pPr>
        <w:ind/>
        <w:jc w:val="center"/>
      </w:pPr>
      <w:r>
        <w:t xml:space="preserve">подведения итогов отбора получателей субсидии в целях предоставления за 2 квартал 2024 года субсидии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</w:t>
      </w:r>
      <w:r>
        <w:t>безалкогольных напитков и воды</w:t>
      </w:r>
    </w:p>
    <w:p w14:paraId="06000000">
      <w:pPr>
        <w:ind/>
        <w:jc w:val="right"/>
      </w:pPr>
    </w:p>
    <w:p w14:paraId="07000000">
      <w:pPr>
        <w:ind/>
        <w:jc w:val="right"/>
      </w:pPr>
      <w:r>
        <w:t>22 июля 2024 года</w:t>
      </w:r>
    </w:p>
    <w:p w14:paraId="08000000">
      <w:pPr>
        <w:ind/>
        <w:jc w:val="center"/>
      </w:pPr>
    </w:p>
    <w:p w14:paraId="09000000">
      <w:pPr>
        <w:ind w:firstLine="708" w:left="0"/>
        <w:jc w:val="both"/>
      </w:pPr>
      <w:r>
        <w:t xml:space="preserve">Министерством сельского хозяйства, пищевой и перерабатывающей промышленности Камчатского края (далее – Министерство) в период с 09.07.2024 по 23.07.2024 в соответствии с </w:t>
      </w:r>
      <w:r>
        <w:t>Объявлением об отборе в целях предоставления за 2 квартал 2024 года субс</w:t>
      </w:r>
      <w:r>
        <w:t xml:space="preserve">идии предприятиям, осуществляющим деятельность в сфере пищевой и перерабатывающей промышленности, на возмещение части затрат, связанных с производством и реализацией безалкогольных напитков и воды </w:t>
      </w:r>
      <w:r>
        <w:t>(далее – Объявления)</w:t>
      </w:r>
      <w:r>
        <w:t>, осуществлен прием</w:t>
      </w:r>
      <w:r>
        <w:t xml:space="preserve"> за</w:t>
      </w:r>
      <w:r>
        <w:t>явок участников отбора.</w:t>
      </w:r>
    </w:p>
    <w:p w14:paraId="0A000000">
      <w:pPr>
        <w:ind w:firstLine="708" w:left="0"/>
        <w:jc w:val="both"/>
      </w:pPr>
      <w:r>
        <w:t>Объявление о проведении отбора размещено на едином портале и на официальном</w:t>
      </w:r>
      <w:r>
        <w:rPr>
          <w:rStyle w:val="Style_2_ch"/>
        </w:rPr>
        <w:t xml:space="preserve"> сайте Министерства в информационно-коммуникационной сети «Интернет» </w:t>
      </w:r>
      <w:r>
        <w:rPr>
          <w:rStyle w:val="Style_2_ch"/>
        </w:rPr>
        <w:fldChar w:fldCharType="begin"/>
      </w:r>
      <w:r>
        <w:rPr>
          <w:rStyle w:val="Style_2_ch"/>
        </w:rPr>
        <w:instrText>HYPERLINK "https://www.kamgov.ru/minselhoz/"</w:instrText>
      </w:r>
      <w:r>
        <w:rPr>
          <w:rStyle w:val="Style_2_ch"/>
        </w:rPr>
        <w:fldChar w:fldCharType="separate"/>
      </w:r>
      <w:r>
        <w:rPr>
          <w:rStyle w:val="Style_2_ch"/>
        </w:rPr>
        <w:t>https://www.kamgov.ru/minselhoz</w:t>
      </w:r>
      <w:r>
        <w:rPr>
          <w:rStyle w:val="Style_2_ch"/>
        </w:rPr>
        <w:fldChar w:fldCharType="end"/>
      </w:r>
      <w:r>
        <w:rPr>
          <w:rStyle w:val="Style_2_ch"/>
        </w:rPr>
        <w:t xml:space="preserve"> в разд</w:t>
      </w:r>
      <w:r>
        <w:rPr>
          <w:rStyle w:val="Style_2_ch"/>
        </w:rPr>
        <w:t>еле «Текущая деятельность» 05.07.2024.</w:t>
      </w:r>
    </w:p>
    <w:p w14:paraId="0B000000">
      <w:pPr>
        <w:widowControl w:val="0"/>
        <w:ind w:firstLine="709" w:left="0"/>
        <w:jc w:val="both"/>
      </w:pPr>
      <w:r>
        <w:t>Дата, время и место проведения рассмотрения заявки на участие в отборе: 22.07.2024</w:t>
      </w:r>
      <w:bookmarkStart w:id="1" w:name="_GoBack"/>
      <w:bookmarkEnd w:id="1"/>
      <w:r>
        <w:t xml:space="preserve"> с 10 час. 00 мин. до 17 час. 00 мин. по адресу: Камчатский край, г. Петропавловск-Камчатский, ул. Владивостокская, д. </w:t>
      </w:r>
      <w:r>
        <w:t>2/1, каб. 304.</w:t>
      </w:r>
    </w:p>
    <w:p w14:paraId="0C000000">
      <w:pPr>
        <w:widowControl w:val="0"/>
        <w:ind w:firstLine="709" w:left="0"/>
        <w:jc w:val="both"/>
      </w:pPr>
      <w:r>
        <w:t>Информация об участниках отбора, заявки которых рассмотрены</w:t>
      </w:r>
      <w:r>
        <w:t>:</w:t>
      </w:r>
    </w:p>
    <w:p w14:paraId="0D000000">
      <w:pPr>
        <w:widowControl w:val="0"/>
        <w:ind w:firstLine="709" w:left="0"/>
        <w:jc w:val="both"/>
      </w:pPr>
    </w:p>
    <w:tbl>
      <w:tblPr>
        <w:tblStyle w:val="Style_3"/>
        <w:tblW w:type="auto" w:w="0"/>
        <w:tblLayout w:type="fixed"/>
      </w:tblPr>
      <w:tblGrid>
        <w:gridCol w:w="1003"/>
        <w:gridCol w:w="6397"/>
        <w:gridCol w:w="2665"/>
      </w:tblGrid>
      <w:tr>
        <w:tc>
          <w:tcPr>
            <w:tcW w:type="dxa" w:w="1003"/>
            <w:vAlign w:val="center"/>
          </w:tcPr>
          <w:p w14:paraId="0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 заявки</w:t>
            </w:r>
          </w:p>
        </w:tc>
        <w:tc>
          <w:tcPr>
            <w:tcW w:type="dxa" w:w="6397"/>
            <w:vAlign w:val="center"/>
          </w:tcPr>
          <w:p w14:paraId="0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участника отбора, представившего заявку</w:t>
            </w:r>
          </w:p>
        </w:tc>
        <w:tc>
          <w:tcPr>
            <w:tcW w:type="dxa" w:w="2665"/>
            <w:vAlign w:val="center"/>
          </w:tcPr>
          <w:p w14:paraId="1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 заявки</w:t>
            </w:r>
          </w:p>
        </w:tc>
      </w:tr>
      <w:tr>
        <w:tc>
          <w:tcPr>
            <w:tcW w:type="dxa" w:w="1003"/>
            <w:vAlign w:val="center"/>
          </w:tcPr>
          <w:p w14:paraId="1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397"/>
            <w:vAlign w:val="center"/>
          </w:tcPr>
          <w:p w14:paraId="1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65"/>
            <w:vAlign w:val="center"/>
          </w:tcPr>
          <w:p w14:paraId="1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1003"/>
            <w:vAlign w:val="center"/>
          </w:tcPr>
          <w:p w14:paraId="1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ЗАО «Малкинское»</w:t>
            </w:r>
          </w:p>
        </w:tc>
        <w:tc>
          <w:tcPr>
            <w:tcW w:type="dxa" w:w="2665"/>
            <w:vAlign w:val="center"/>
          </w:tcPr>
          <w:p w14:paraId="1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Заявка рассмотрена</w:t>
            </w:r>
          </w:p>
        </w:tc>
      </w:tr>
    </w:tbl>
    <w:p w14:paraId="17000000">
      <w:pPr>
        <w:ind w:firstLine="708" w:left="0"/>
        <w:jc w:val="both"/>
      </w:pPr>
    </w:p>
    <w:p w14:paraId="18000000">
      <w:pPr>
        <w:ind w:firstLine="708" w:left="0"/>
        <w:jc w:val="both"/>
      </w:pPr>
      <w:r>
        <w:t>Участники отбора, заявки которых были отклонены, отсутствуют.</w:t>
      </w:r>
    </w:p>
    <w:p w14:paraId="19000000">
      <w:pPr>
        <w:tabs>
          <w:tab w:leader="none" w:pos="1134" w:val="left"/>
        </w:tabs>
        <w:ind w:firstLine="709" w:left="0"/>
        <w:jc w:val="both"/>
      </w:pPr>
    </w:p>
    <w:p w14:paraId="1A000000">
      <w:pPr>
        <w:tabs>
          <w:tab w:leader="none" w:pos="1134" w:val="left"/>
        </w:tabs>
        <w:ind w:firstLine="709" w:left="0"/>
        <w:jc w:val="both"/>
      </w:pPr>
      <w:r>
        <w:t>Отбор признан состоявшимся.</w:t>
      </w:r>
    </w:p>
    <w:p w14:paraId="1B000000">
      <w:pPr>
        <w:tabs>
          <w:tab w:leader="none" w:pos="1134" w:val="left"/>
        </w:tabs>
        <w:ind w:firstLine="709" w:left="0"/>
        <w:jc w:val="both"/>
      </w:pPr>
    </w:p>
    <w:p w14:paraId="1C000000">
      <w:pPr>
        <w:tabs>
          <w:tab w:leader="none" w:pos="1134" w:val="left"/>
        </w:tabs>
        <w:ind w:firstLine="709" w:left="0"/>
        <w:jc w:val="both"/>
      </w:pPr>
      <w:r>
        <w:t>Информация о получателях субсидии, в отношении которых принято решение</w:t>
      </w:r>
      <w:r>
        <w:t xml:space="preserve"> о заключении соглашения: </w:t>
      </w:r>
    </w:p>
    <w:p w14:paraId="1D000000">
      <w:pPr>
        <w:tabs>
          <w:tab w:leader="none" w:pos="1134" w:val="left"/>
        </w:tabs>
        <w:ind w:firstLine="709" w:left="0"/>
        <w:jc w:val="both"/>
      </w:pPr>
    </w:p>
    <w:tbl>
      <w:tblPr>
        <w:tblStyle w:val="Style_3"/>
        <w:tblW w:type="auto" w:w="0"/>
        <w:tblLayout w:type="fixed"/>
      </w:tblPr>
      <w:tblGrid>
        <w:gridCol w:w="1003"/>
        <w:gridCol w:w="6397"/>
        <w:gridCol w:w="2665"/>
      </w:tblGrid>
      <w:tr>
        <w:tc>
          <w:tcPr>
            <w:tcW w:type="dxa" w:w="1003"/>
            <w:vAlign w:val="center"/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 заявки</w:t>
            </w:r>
          </w:p>
        </w:tc>
        <w:tc>
          <w:tcPr>
            <w:tcW w:type="dxa" w:w="6397"/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участника отбора, представившего заявку</w:t>
            </w:r>
          </w:p>
        </w:tc>
        <w:tc>
          <w:tcPr>
            <w:tcW w:type="dxa" w:w="2665"/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Размер предоставляемой субсидии</w:t>
            </w:r>
          </w:p>
        </w:tc>
      </w:tr>
      <w:tr>
        <w:tc>
          <w:tcPr>
            <w:tcW w:type="dxa" w:w="1003"/>
            <w:vAlign w:val="center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397"/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665"/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c>
          <w:tcPr>
            <w:tcW w:type="dxa" w:w="10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ЗАО «Малкинское»</w:t>
            </w:r>
          </w:p>
        </w:tc>
        <w:tc>
          <w:tcPr>
            <w:tcW w:type="dxa" w:w="2665"/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2 696 578,00</w:t>
            </w:r>
          </w:p>
        </w:tc>
      </w:tr>
    </w:tbl>
    <w:p w14:paraId="27000000">
      <w:pPr>
        <w:ind w:firstLine="708" w:left="0"/>
        <w:jc w:val="both"/>
      </w:pPr>
    </w:p>
    <w:p w14:paraId="28000000">
      <w:pPr>
        <w:ind/>
        <w:jc w:val="both"/>
      </w:pPr>
    </w:p>
    <w:sectPr>
      <w:headerReference r:id="rId1" w:type="default"/>
      <w:pgSz w:h="16838" w:orient="portrait" w:w="11906"/>
      <w:pgMar w:bottom="538" w:footer="708" w:gutter="0" w:header="708" w:left="1134" w:right="707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4_ch" w:type="character">
    <w:name w:val="Normal"/>
    <w:link w:val="Style_4"/>
    <w:rPr>
      <w:rFonts w:ascii="Times New Roman" w:hAnsi="Times New Roman"/>
      <w:sz w:val="28"/>
    </w:rPr>
  </w:style>
  <w:style w:styleId="Style_5" w:type="paragraph">
    <w:name w:val="List Paragraph"/>
    <w:basedOn w:val="Style_4"/>
    <w:link w:val="Style_5_ch"/>
    <w:pPr>
      <w:spacing w:after="160" w:line="264" w:lineRule="auto"/>
      <w:ind w:firstLine="0" w:left="720"/>
      <w:contextualSpacing w:val="1"/>
    </w:pPr>
    <w:rPr>
      <w:rFonts w:ascii="Calibri" w:hAnsi="Calibri"/>
      <w:sz w:val="22"/>
    </w:rPr>
  </w:style>
  <w:style w:styleId="Style_5_ch" w:type="character">
    <w:name w:val="List Paragraph"/>
    <w:basedOn w:val="Style_4_ch"/>
    <w:link w:val="Style_5"/>
    <w:rPr>
      <w:rFonts w:ascii="Calibri" w:hAnsi="Calibri"/>
      <w:sz w:val="22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Основной текст1"/>
    <w:basedOn w:val="Style_4"/>
    <w:link w:val="Style_9_ch"/>
    <w:pPr>
      <w:widowControl w:val="0"/>
      <w:ind w:firstLine="400" w:left="0"/>
    </w:pPr>
  </w:style>
  <w:style w:styleId="Style_9_ch" w:type="character">
    <w:name w:val="Основной текст1"/>
    <w:basedOn w:val="Style_4_ch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Endnote"/>
    <w:link w:val="Style_13"/>
    <w:rPr>
      <w:rFonts w:ascii="XO Thames" w:hAnsi="XO Thames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Nonformat"/>
    <w:link w:val="Style_15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5_ch" w:type="character">
    <w:name w:val="ConsPlusNonformat"/>
    <w:link w:val="Style_15"/>
    <w:rPr>
      <w:rFonts w:ascii="Courier New" w:hAnsi="Courier New"/>
      <w:sz w:val="20"/>
    </w:rPr>
  </w:style>
  <w:style w:styleId="Style_16" w:type="paragraph">
    <w:name w:val="footer"/>
    <w:basedOn w:val="Style_4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4_ch"/>
    <w:link w:val="Style_16"/>
  </w:style>
  <w:style w:styleId="Style_2" w:type="paragraph">
    <w:name w:val="Обычный1"/>
    <w:link w:val="Style_2_ch"/>
    <w:rPr>
      <w:rFonts w:ascii="Times New Roman" w:hAnsi="Times New Roman"/>
      <w:sz w:val="28"/>
    </w:rPr>
  </w:style>
  <w:style w:styleId="Style_2_ch" w:type="character">
    <w:name w:val="Обычный1"/>
    <w:link w:val="Style_2"/>
    <w:rPr>
      <w:rFonts w:ascii="Times New Roman" w:hAnsi="Times New Roman"/>
      <w:sz w:val="28"/>
    </w:rPr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ConsPlusTitle"/>
    <w:link w:val="Style_23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3_ch" w:type="character">
    <w:name w:val="ConsPlusTitle"/>
    <w:link w:val="Style_23"/>
    <w:rPr>
      <w:rFonts w:ascii="Calibri" w:hAnsi="Calibri"/>
      <w:b w:val="1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ConsPlusNormal"/>
    <w:link w:val="Style_2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25_ch" w:type="character">
    <w:name w:val="ConsPlusNormal"/>
    <w:link w:val="Style_25"/>
    <w:rPr>
      <w:rFonts w:ascii="Arial" w:hAnsi="Arial"/>
      <w:sz w:val="20"/>
    </w:rPr>
  </w:style>
  <w:style w:styleId="Style_26" w:type="paragraph">
    <w:name w:val="toc 9"/>
    <w:next w:val="Style_4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Subtitle"/>
    <w:next w:val="Style_4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3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2024-07-23T04:44:10Z</dcterms:modified>
</cp:coreProperties>
</file>