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</w:t>
      </w:r>
      <w:r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4000000">
      <w:pPr>
        <w:ind/>
        <w:jc w:val="center"/>
      </w:pPr>
      <w:r>
        <w:t xml:space="preserve">рассмотрения заявок участников </w:t>
      </w:r>
      <w:r>
        <w:t xml:space="preserve">дополнительного </w:t>
      </w:r>
      <w:r>
        <w:t xml:space="preserve">отбора </w:t>
      </w:r>
      <w:r>
        <w:t xml:space="preserve">с целью </w:t>
      </w:r>
      <w:r>
        <w:t xml:space="preserve">предоставления </w:t>
      </w:r>
    </w:p>
    <w:p w14:paraId="05000000">
      <w:pPr>
        <w:ind/>
        <w:jc w:val="center"/>
      </w:pPr>
      <w:r>
        <w:t xml:space="preserve">субсидий на возмещение части транспортных расходов, </w:t>
      </w:r>
      <w:r>
        <w:t>на возмещение юридическим лицам и индивидуальным предпринимателям, осуществляющим производство социально значимых видов хлеба в труднодоступных и отдаленных местностях Камчатского края, части транспортных расходов, связанных с доставкой муки для производства хлеба</w:t>
      </w:r>
      <w:r>
        <w:t xml:space="preserve"> </w:t>
      </w:r>
      <w:r>
        <w:t xml:space="preserve">в соответствии с </w:t>
      </w:r>
      <w:r>
        <w:t>постановлением Правительства</w:t>
      </w:r>
      <w:r>
        <w:t xml:space="preserve"> </w:t>
      </w:r>
      <w:r>
        <w:t xml:space="preserve">Камчатского края от </w:t>
      </w:r>
      <w:r>
        <w:t>04.05.2022</w:t>
      </w:r>
      <w:r>
        <w:t xml:space="preserve"> № </w:t>
      </w:r>
      <w:r>
        <w:t>228-П</w:t>
      </w:r>
    </w:p>
    <w:p w14:paraId="06000000">
      <w:pPr>
        <w:ind/>
        <w:jc w:val="center"/>
        <w:rPr>
          <w:color w:val="000000"/>
        </w:rPr>
      </w:pPr>
      <w:r>
        <w:rPr>
          <w:color w:val="000000"/>
        </w:rPr>
        <w:t>(уточненные)</w:t>
      </w:r>
    </w:p>
    <w:p w14:paraId="07000000">
      <w:pPr>
        <w:pStyle w:val="Style_3"/>
        <w:ind/>
        <w:jc w:val="right"/>
        <w:rPr>
          <w:rFonts w:ascii="Times New Roman" w:hAnsi="Times New Roman"/>
          <w:sz w:val="28"/>
        </w:rPr>
      </w:pPr>
    </w:p>
    <w:p w14:paraId="08000000">
      <w:pPr>
        <w:pStyle w:val="Style_3"/>
        <w:spacing w:line="240" w:lineRule="auto"/>
        <w:ind w:firstLine="0"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Дата, в</w:t>
      </w:r>
      <w:r>
        <w:rPr>
          <w:rFonts w:ascii="Times New Roman" w:hAnsi="Times New Roman"/>
          <w:sz w:val="28"/>
        </w:rPr>
        <w:t>ремя</w:t>
      </w:r>
      <w:r>
        <w:rPr>
          <w:rFonts w:ascii="Times New Roman" w:hAnsi="Times New Roman"/>
          <w:sz w:val="28"/>
        </w:rPr>
        <w:t xml:space="preserve"> и место</w:t>
      </w:r>
      <w:r>
        <w:rPr>
          <w:rFonts w:ascii="Times New Roman" w:hAnsi="Times New Roman"/>
          <w:sz w:val="28"/>
        </w:rPr>
        <w:t xml:space="preserve"> проведения </w:t>
      </w:r>
      <w:r>
        <w:rPr>
          <w:rFonts w:ascii="Times New Roman" w:hAnsi="Times New Roman"/>
          <w:sz w:val="28"/>
        </w:rPr>
        <w:t>рассмотрения заявок на участие в отборе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марта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с 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0 мин.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мин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pStyle w:val="Style_3"/>
        <w:spacing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Камчатский край,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Петропавловск-Камчатский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Владивостокская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2/1,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spacing w:line="240" w:lineRule="auto"/>
        <w:ind w:firstLine="708" w:left="0"/>
        <w:jc w:val="both"/>
      </w:pPr>
      <w:r>
        <w:t xml:space="preserve">В </w:t>
      </w:r>
      <w:r>
        <w:t xml:space="preserve">Министерство </w:t>
      </w:r>
      <w:r>
        <w:t xml:space="preserve">сельского хозяйства, пищевой и перерабатывающей промышленности Камчатского края </w:t>
      </w:r>
      <w:r>
        <w:t>поступил</w:t>
      </w:r>
      <w:r>
        <w:t>о</w:t>
      </w:r>
      <w:r>
        <w:t xml:space="preserve"> </w:t>
      </w:r>
      <w:r>
        <w:t>3</w:t>
      </w:r>
      <w:r>
        <w:t xml:space="preserve"> </w:t>
      </w:r>
      <w:r>
        <w:t>(</w:t>
      </w:r>
      <w:r>
        <w:t>три</w:t>
      </w:r>
      <w:r>
        <w:t xml:space="preserve">) </w:t>
      </w:r>
      <w:r>
        <w:t>заяв</w:t>
      </w:r>
      <w:r>
        <w:t>к</w:t>
      </w:r>
      <w:r>
        <w:t>и</w:t>
      </w:r>
      <w:r>
        <w:t xml:space="preserve"> </w:t>
      </w:r>
      <w:r>
        <w:t>на уч</w:t>
      </w:r>
      <w:r>
        <w:t>астие в отборе</w:t>
      </w:r>
      <w:r>
        <w:t>:</w:t>
      </w:r>
    </w:p>
    <w:p w14:paraId="0B000000">
      <w:pPr>
        <w:spacing w:line="240" w:lineRule="auto"/>
        <w:ind w:firstLine="708" w:left="0"/>
        <w:jc w:val="both"/>
        <w:rPr>
          <w:sz w:val="18"/>
        </w:rPr>
      </w:pPr>
    </w:p>
    <w:tbl>
      <w:tblPr>
        <w:tblStyle w:val="Style_4"/>
        <w:tblW w:type="auto" w:w="0"/>
        <w:tblLayout w:type="fixed"/>
      </w:tblPr>
      <w:tblGrid>
        <w:gridCol w:w="998"/>
        <w:gridCol w:w="5801"/>
        <w:gridCol w:w="3261"/>
      </w:tblGrid>
      <w:tr>
        <w:tc>
          <w:tcPr>
            <w:tcW w:type="dxa" w:w="998"/>
            <w:vAlign w:val="center"/>
          </w:tcPr>
          <w:p w14:paraId="0C000000">
            <w:pPr>
              <w:spacing w:line="240" w:lineRule="auto"/>
              <w:ind/>
              <w:jc w:val="center"/>
            </w:pPr>
            <w:r>
              <w:t>№ п/п заявки</w:t>
            </w:r>
          </w:p>
        </w:tc>
        <w:tc>
          <w:tcPr>
            <w:tcW w:type="dxa" w:w="5801"/>
            <w:vAlign w:val="center"/>
          </w:tcPr>
          <w:p w14:paraId="0D000000">
            <w:pPr>
              <w:spacing w:line="240" w:lineRule="auto"/>
              <w:ind/>
              <w:jc w:val="center"/>
            </w:pPr>
            <w:r>
              <w:t>Наименование участника отбора, представившего заявку</w:t>
            </w:r>
          </w:p>
        </w:tc>
        <w:tc>
          <w:tcPr>
            <w:tcW w:type="dxa" w:w="3261"/>
            <w:vAlign w:val="center"/>
          </w:tcPr>
          <w:p w14:paraId="0E000000">
            <w:pPr>
              <w:spacing w:line="240" w:lineRule="auto"/>
              <w:ind/>
              <w:jc w:val="center"/>
            </w:pPr>
            <w:r>
              <w:t>Рассмотрение заявки</w:t>
            </w:r>
          </w:p>
        </w:tc>
      </w:tr>
      <w:tr>
        <w:tc>
          <w:tcPr>
            <w:tcW w:type="dxa" w:w="998"/>
            <w:vAlign w:val="center"/>
          </w:tcPr>
          <w:p w14:paraId="0F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5801"/>
            <w:vAlign w:val="center"/>
          </w:tcPr>
          <w:p w14:paraId="10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3261"/>
            <w:vAlign w:val="center"/>
          </w:tcPr>
          <w:p w14:paraId="11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c>
          <w:tcPr>
            <w:tcW w:type="dxa" w:w="998"/>
            <w:vAlign w:val="center"/>
          </w:tcPr>
          <w:p w14:paraId="12000000">
            <w:pPr>
              <w:spacing w:line="240" w:lineRule="auto"/>
              <w:ind/>
              <w:jc w:val="center"/>
            </w:pPr>
            <w:r>
              <w:t>1</w:t>
            </w:r>
          </w:p>
        </w:tc>
        <w:tc>
          <w:tcPr>
            <w:tcW w:type="dxa" w:w="5801"/>
            <w:vAlign w:val="center"/>
          </w:tcPr>
          <w:p w14:paraId="13000000">
            <w:pPr>
              <w:spacing w:line="240" w:lineRule="auto"/>
              <w:ind/>
            </w:pPr>
            <w:r>
              <w:t xml:space="preserve">ИП </w:t>
            </w:r>
            <w:r>
              <w:t>Миронов С.А.</w:t>
            </w:r>
            <w:r>
              <w:t xml:space="preserve"> </w:t>
            </w:r>
          </w:p>
        </w:tc>
        <w:tc>
          <w:tcPr>
            <w:tcW w:type="dxa" w:w="3261"/>
            <w:vAlign w:val="center"/>
          </w:tcPr>
          <w:p w14:paraId="14000000">
            <w:pPr>
              <w:spacing w:line="240" w:lineRule="auto"/>
              <w:ind/>
              <w:jc w:val="center"/>
            </w:pPr>
            <w:r>
              <w:t>Заявка рассмотрена</w:t>
            </w:r>
          </w:p>
        </w:tc>
      </w:tr>
      <w:tr>
        <w:trPr>
          <w:trHeight w:hRule="atLeast" w:val="371"/>
        </w:trPr>
        <w:tc>
          <w:tcPr>
            <w:tcW w:type="dxa" w:w="998"/>
            <w:vAlign w:val="center"/>
          </w:tcPr>
          <w:p w14:paraId="15000000">
            <w:pPr>
              <w:spacing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5801"/>
            <w:vAlign w:val="center"/>
          </w:tcPr>
          <w:p w14:paraId="16000000">
            <w:pPr>
              <w:spacing w:line="240" w:lineRule="auto"/>
              <w:ind/>
            </w:pPr>
            <w:r>
              <w:t>Соболевское</w:t>
            </w:r>
            <w:r>
              <w:t xml:space="preserve"> потребительское общество</w:t>
            </w:r>
          </w:p>
        </w:tc>
        <w:tc>
          <w:tcPr>
            <w:tcW w:type="dxa" w:w="3261"/>
            <w:vAlign w:val="center"/>
          </w:tcPr>
          <w:p w14:paraId="17000000">
            <w:pPr>
              <w:spacing w:line="240" w:lineRule="auto"/>
              <w:ind/>
              <w:jc w:val="center"/>
            </w:pPr>
            <w:r>
              <w:t>Заявка рассмотрена</w:t>
            </w:r>
          </w:p>
        </w:tc>
      </w:tr>
      <w:tr>
        <w:tc>
          <w:tcPr>
            <w:tcW w:type="dxa" w:w="998"/>
            <w:vAlign w:val="center"/>
          </w:tcPr>
          <w:p w14:paraId="18000000">
            <w:pPr>
              <w:spacing w:line="240" w:lineRule="auto"/>
              <w:ind/>
              <w:jc w:val="center"/>
            </w:pPr>
            <w:r>
              <w:t>3</w:t>
            </w:r>
          </w:p>
        </w:tc>
        <w:tc>
          <w:tcPr>
            <w:tcW w:type="dxa" w:w="5801"/>
            <w:vAlign w:val="center"/>
          </w:tcPr>
          <w:p w14:paraId="19000000">
            <w:pPr>
              <w:spacing w:line="240" w:lineRule="auto"/>
              <w:ind/>
            </w:pPr>
            <w:r>
              <w:t>ООО «Хозяюшка»</w:t>
            </w:r>
          </w:p>
        </w:tc>
        <w:tc>
          <w:tcPr>
            <w:tcW w:type="dxa" w:w="3261"/>
            <w:vAlign w:val="center"/>
          </w:tcPr>
          <w:p w14:paraId="1A000000">
            <w:pPr>
              <w:spacing w:line="240" w:lineRule="auto"/>
              <w:ind/>
              <w:jc w:val="center"/>
            </w:pPr>
            <w:r>
              <w:t>Заявка рассмотрена</w:t>
            </w:r>
          </w:p>
        </w:tc>
      </w:tr>
    </w:tbl>
    <w:p w14:paraId="1B000000">
      <w:pPr>
        <w:spacing w:line="240" w:lineRule="auto"/>
        <w:ind w:firstLine="709" w:left="0"/>
        <w:jc w:val="both"/>
        <w:rPr>
          <w:sz w:val="18"/>
        </w:rPr>
      </w:pPr>
    </w:p>
    <w:p w14:paraId="1C000000">
      <w:pPr>
        <w:spacing w:line="240" w:lineRule="auto"/>
        <w:ind w:firstLine="709" w:left="0"/>
        <w:jc w:val="both"/>
      </w:pPr>
      <w:r>
        <w:t>Заявк</w:t>
      </w:r>
      <w:r>
        <w:t>и</w:t>
      </w:r>
      <w:r>
        <w:t xml:space="preserve"> участник</w:t>
      </w:r>
      <w:r>
        <w:t>ов</w:t>
      </w:r>
      <w:r>
        <w:t xml:space="preserve"> </w:t>
      </w:r>
      <w:r>
        <w:t>о</w:t>
      </w:r>
      <w:r>
        <w:t>тбора рассмотрен</w:t>
      </w:r>
      <w:r>
        <w:t>ы</w:t>
      </w:r>
      <w:r>
        <w:t>, проверен</w:t>
      </w:r>
      <w:r>
        <w:t>ы</w:t>
      </w:r>
      <w:r>
        <w:t xml:space="preserve"> на достоверность и полноту содержащихся в н</w:t>
      </w:r>
      <w:r>
        <w:t>их</w:t>
      </w:r>
      <w:r>
        <w:t xml:space="preserve"> сведений,</w:t>
      </w:r>
      <w:r>
        <w:t xml:space="preserve"> </w:t>
      </w:r>
      <w:r>
        <w:t>на соответствие перечню документов</w:t>
      </w:r>
      <w:r>
        <w:t>, установленн</w:t>
      </w:r>
      <w:r>
        <w:t>о</w:t>
      </w:r>
      <w:r>
        <w:t>му</w:t>
      </w:r>
      <w:r>
        <w:t xml:space="preserve"> </w:t>
      </w:r>
      <w:r>
        <w:fldChar w:fldCharType="begin"/>
      </w:r>
      <w:r>
        <w:instrText>HYPERLINK "consultantplus://offline/ref=E473568D7723709F26DB751F60143B771ABC77435710EA05B7AD7F2AE1CC332A3782FCC64E31FCB6AFC8AB91E5E558D0C40AB2905409C5398700B891U1c8B"</w:instrText>
      </w:r>
      <w:r>
        <w:fldChar w:fldCharType="separate"/>
      </w:r>
      <w:r>
        <w:t>част</w:t>
      </w:r>
      <w:r>
        <w:t>ью</w:t>
      </w:r>
      <w:r>
        <w:t xml:space="preserve"> </w:t>
      </w:r>
      <w:r>
        <w:fldChar w:fldCharType="end"/>
      </w:r>
      <w:r>
        <w:fldChar w:fldCharType="begin"/>
      </w:r>
      <w:r>
        <w:instrText>HYPERLINK "consultantplus://offline/ref=E473568D7723709F26DB751F60143B771ABC77435710EA05B7AD7F2AE1CC332A3782FCC64E31FCB6AFC8A898ECE558D0C40AB2905409C5398700B891U1c8B"</w:instrText>
      </w:r>
      <w:r>
        <w:fldChar w:fldCharType="separate"/>
      </w:r>
      <w:r>
        <w:t>1</w:t>
      </w:r>
      <w:r>
        <w:fldChar w:fldCharType="end"/>
      </w:r>
      <w:r>
        <w:t>4</w:t>
      </w:r>
      <w:r>
        <w:t xml:space="preserve"> Порядк</w:t>
      </w:r>
      <w:r>
        <w:t>а</w:t>
      </w:r>
      <w:r>
        <w:t xml:space="preserve"> предоставления субсидии</w:t>
      </w:r>
      <w:r>
        <w:t>, а также</w:t>
      </w:r>
      <w:r>
        <w:t xml:space="preserve"> участник</w:t>
      </w:r>
      <w:r>
        <w:t>и</w:t>
      </w:r>
      <w:r>
        <w:t xml:space="preserve"> о</w:t>
      </w:r>
      <w:r>
        <w:t>тбора проверен</w:t>
      </w:r>
      <w:r>
        <w:t>ы</w:t>
      </w:r>
      <w:r>
        <w:t xml:space="preserve"> на </w:t>
      </w:r>
      <w:r>
        <w:t xml:space="preserve">соответствие </w:t>
      </w:r>
      <w:r>
        <w:t xml:space="preserve">требованиям, установленным </w:t>
      </w:r>
      <w:r>
        <w:fldChar w:fldCharType="begin"/>
      </w:r>
      <w:r>
        <w:instrText>HYPERLINK "consultantplus://offline/ref=E473568D7723709F26DB751F60143B771ABC77435710EA05B7AD7F2AE1CC332A3782FCC64E31FCB6AFC8AB91E5E558D0C40AB2905409C5398700B891U1c8B"</w:instrText>
      </w:r>
      <w:r>
        <w:fldChar w:fldCharType="separate"/>
      </w:r>
      <w:r>
        <w:t>част</w:t>
      </w:r>
      <w:r>
        <w:t>ью</w:t>
      </w:r>
      <w:r>
        <w:t xml:space="preserve"> </w:t>
      </w:r>
      <w:r>
        <w:t>1</w:t>
      </w:r>
      <w:r>
        <w:fldChar w:fldCharType="end"/>
      </w:r>
      <w:r>
        <w:t>3</w:t>
      </w:r>
      <w:r>
        <w:t xml:space="preserve"> Порядк</w:t>
      </w:r>
      <w:r>
        <w:t>а</w:t>
      </w:r>
      <w:r>
        <w:t xml:space="preserve"> </w:t>
      </w:r>
      <w:r>
        <w:t>предоставления субсидии</w:t>
      </w:r>
      <w:r>
        <w:t>.</w:t>
      </w:r>
    </w:p>
    <w:p w14:paraId="1D000000">
      <w:pPr>
        <w:tabs>
          <w:tab w:leader="none" w:pos="1134" w:val="left"/>
        </w:tabs>
        <w:spacing w:line="240" w:lineRule="auto"/>
        <w:ind w:firstLine="709" w:left="0"/>
        <w:jc w:val="both"/>
      </w:pPr>
      <w:r>
        <w:t>Считать следующ</w:t>
      </w:r>
      <w:r>
        <w:t>их</w:t>
      </w:r>
      <w:r>
        <w:t xml:space="preserve"> участник</w:t>
      </w:r>
      <w:r>
        <w:t>ов</w:t>
      </w:r>
      <w:r>
        <w:t xml:space="preserve"> прошедши</w:t>
      </w:r>
      <w:r>
        <w:t>ми</w:t>
      </w:r>
      <w:r>
        <w:t xml:space="preserve"> </w:t>
      </w:r>
      <w:r>
        <w:t>о</w:t>
      </w:r>
      <w:r>
        <w:t>тбор</w:t>
      </w:r>
      <w:r>
        <w:t>:</w:t>
      </w:r>
    </w:p>
    <w:p w14:paraId="1E000000">
      <w:pPr>
        <w:tabs>
          <w:tab w:leader="none" w:pos="1134" w:val="left"/>
        </w:tabs>
        <w:spacing w:line="240" w:lineRule="auto"/>
        <w:ind w:firstLine="709" w:left="0"/>
        <w:jc w:val="both"/>
      </w:pPr>
      <w:r>
        <w:t xml:space="preserve"> </w:t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7"/>
        <w:gridCol w:w="3555"/>
        <w:gridCol w:w="1575"/>
        <w:gridCol w:w="1395"/>
        <w:gridCol w:w="1380"/>
        <w:gridCol w:w="1470"/>
      </w:tblGrid>
      <w:tr>
        <w:trPr>
          <w:trHeight w:hRule="atLeast" w:val="335"/>
        </w:trP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type="dxa" w:w="35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участников, прошедших отбор, с которыми планируется заключение соглашений</w:t>
            </w:r>
          </w:p>
        </w:tc>
        <w:tc>
          <w:tcPr>
            <w:tcW w:type="dxa" w:w="58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pStyle w:val="Style_5"/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азмер предоставляемой субсидии, тыс. рублей</w:t>
            </w:r>
          </w:p>
          <w:p w14:paraId="22000000">
            <w:pPr>
              <w:spacing w:line="240" w:lineRule="auto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440"/>
        </w:trP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5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</w:p>
          <w:p w14:paraId="24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 квартал 2022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after="0"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</w:p>
          <w:p w14:paraId="26000000">
            <w:pPr>
              <w:spacing w:after="0"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 квартал 2023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</w:p>
          <w:p w14:paraId="28000000">
            <w:pPr>
              <w:spacing w:after="0"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квартал </w:t>
            </w:r>
            <w:r>
              <w:rPr>
                <w:sz w:val="24"/>
              </w:rPr>
              <w:t>2023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</w:p>
          <w:p w14:paraId="2A000000">
            <w:pPr>
              <w:spacing w:after="0"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квартал </w:t>
            </w:r>
            <w:r>
              <w:rPr>
                <w:sz w:val="24"/>
              </w:rPr>
              <w:t>2023</w:t>
            </w:r>
          </w:p>
        </w:tc>
      </w:tr>
      <w:tr>
        <w:trPr>
          <w:trHeight w:hRule="atLeast" w:val="273"/>
        </w:trP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2"/>
        </w:trP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r>
              <w:rPr>
                <w:sz w:val="24"/>
              </w:rPr>
              <w:t>Миронов С.А.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221,605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140,135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451,249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158,305</w:t>
            </w:r>
          </w:p>
        </w:tc>
      </w:tr>
      <w:tr>
        <w:trPr>
          <w:trHeight w:hRule="atLeast" w:val="312"/>
        </w:trP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3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Соболевское</w:t>
            </w:r>
            <w:r>
              <w:rPr>
                <w:sz w:val="24"/>
              </w:rPr>
              <w:t xml:space="preserve"> потребительское общество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38,988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30,324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30,324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56,316</w:t>
            </w:r>
          </w:p>
        </w:tc>
      </w:tr>
      <w:tr>
        <w:trPr>
          <w:trHeight w:hRule="atLeast" w:val="312"/>
        </w:trP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ООО «Хозяюшка»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409,682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379,451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294,504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325,911</w:t>
            </w:r>
          </w:p>
        </w:tc>
      </w:tr>
    </w:tbl>
    <w:p w14:paraId="43000000">
      <w:pPr>
        <w:tabs>
          <w:tab w:leader="none" w:pos="1134" w:val="left"/>
        </w:tabs>
        <w:spacing w:line="240" w:lineRule="auto"/>
        <w:ind w:firstLine="709" w:left="0"/>
        <w:jc w:val="both"/>
      </w:pPr>
    </w:p>
    <w:p w14:paraId="44000000">
      <w:pPr>
        <w:spacing w:line="240" w:lineRule="auto"/>
        <w:ind w:firstLine="709" w:left="0"/>
        <w:jc w:val="both"/>
      </w:pPr>
      <w:r>
        <w:t>Участник</w:t>
      </w:r>
      <w:r>
        <w:t>и о</w:t>
      </w:r>
      <w:r>
        <w:t xml:space="preserve">тбора, </w:t>
      </w:r>
      <w:r>
        <w:t>заявки</w:t>
      </w:r>
      <w:r>
        <w:t xml:space="preserve"> которых были отклонены, </w:t>
      </w:r>
      <w:r>
        <w:t>отсутствуют.</w:t>
      </w:r>
    </w:p>
    <w:p w14:paraId="45000000">
      <w:pPr>
        <w:spacing w:line="240" w:lineRule="auto"/>
        <w:ind/>
        <w:jc w:val="both"/>
      </w:pPr>
    </w:p>
    <w:sectPr>
      <w:headerReference r:id="rId1" w:type="default"/>
      <w:pgSz w:h="16838" w:orient="portrait" w:w="11906"/>
      <w:pgMar w:bottom="709" w:footer="708" w:gutter="0" w:header="708" w:left="1134" w:right="70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5_ch" w:type="character">
    <w:name w:val="Normal"/>
    <w:link w:val="Style_5"/>
    <w:rPr>
      <w:rFonts w:ascii="Times New Roman" w:hAnsi="Times New Roman"/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List Paragraph"/>
    <w:basedOn w:val="Style_5"/>
    <w:link w:val="Style_18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18_ch" w:type="character">
    <w:name w:val="List Paragraph"/>
    <w:basedOn w:val="Style_5_ch"/>
    <w:link w:val="Style_18"/>
    <w:rPr>
      <w:rFonts w:ascii="Calibri" w:hAnsi="Calibri"/>
      <w:sz w:val="22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3" w:type="paragraph">
    <w:name w:val="ConsPlusNonformat"/>
    <w:link w:val="Style_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Основной текст1"/>
    <w:basedOn w:val="Style_5"/>
    <w:link w:val="Style_22_ch"/>
    <w:pPr>
      <w:widowControl w:val="0"/>
      <w:ind w:firstLine="400" w:left="0"/>
    </w:pPr>
    <w:rPr>
      <w:color w:val="000000"/>
    </w:rPr>
  </w:style>
  <w:style w:styleId="Style_22_ch" w:type="character">
    <w:name w:val="Основной текст1"/>
    <w:basedOn w:val="Style_5_ch"/>
    <w:link w:val="Style_22"/>
    <w:rPr>
      <w:color w:val="000000"/>
    </w:rPr>
  </w:style>
  <w:style w:styleId="Style_23" w:type="paragraph">
    <w:name w:val="footer"/>
    <w:basedOn w:val="Style_5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5_ch"/>
    <w:link w:val="Style_23"/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ConsPlusNormal"/>
    <w:link w:val="Style_28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8_ch" w:type="character">
    <w:name w:val="ConsPlusNormal"/>
    <w:link w:val="Style_28"/>
    <w:rPr>
      <w:rFonts w:ascii="Arial" w:hAnsi="Arial"/>
      <w:sz w:val="20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2024-07-23T00:14:11Z</dcterms:modified>
</cp:coreProperties>
</file>