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2409" w:rsidRDefault="00462409" w:rsidP="00462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462409" w:rsidRDefault="00462409" w:rsidP="00462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462409" w:rsidRDefault="00462409" w:rsidP="00462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BE2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462409">
        <w:tc>
          <w:tcPr>
            <w:tcW w:w="4820" w:type="dxa"/>
          </w:tcPr>
          <w:p w:rsidR="00462409" w:rsidRDefault="00697066" w:rsidP="00BE2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77DD">
              <w:rPr>
                <w:rFonts w:ascii="Times New Roman" w:hAnsi="Times New Roman" w:cs="Times New Roman"/>
                <w:sz w:val="28"/>
                <w:szCs w:val="28"/>
              </w:rPr>
              <w:t>б утверждении П</w:t>
            </w:r>
            <w:r w:rsidR="00520B11" w:rsidRPr="00B07573">
              <w:rPr>
                <w:rFonts w:ascii="Times New Roman" w:hAnsi="Times New Roman" w:cs="Times New Roman"/>
                <w:sz w:val="28"/>
                <w:szCs w:val="28"/>
              </w:rPr>
              <w:t>оложения о контрактной службе</w:t>
            </w:r>
            <w:r w:rsidR="00520B1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сельского хозяйства, пищевой и перерабатывающей промышленности Камчатского края</w:t>
            </w:r>
          </w:p>
          <w:p w:rsidR="006E593A" w:rsidRDefault="006E593A" w:rsidP="00BE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0B11" w:rsidRDefault="00520B11" w:rsidP="00BE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B11">
        <w:rPr>
          <w:rFonts w:ascii="Times New Roman" w:hAnsi="Times New Roman" w:cs="Times New Roman"/>
          <w:sz w:val="28"/>
          <w:szCs w:val="28"/>
        </w:rPr>
        <w:t>В соответствии с</w:t>
      </w:r>
      <w:r w:rsidR="00556BB0">
        <w:rPr>
          <w:rFonts w:ascii="Times New Roman" w:hAnsi="Times New Roman" w:cs="Times New Roman"/>
          <w:sz w:val="28"/>
          <w:szCs w:val="28"/>
        </w:rPr>
        <w:t xml:space="preserve"> частью 3 </w:t>
      </w:r>
      <w:r w:rsidRPr="00520B11">
        <w:rPr>
          <w:rFonts w:ascii="Times New Roman" w:hAnsi="Times New Roman" w:cs="Times New Roman"/>
          <w:sz w:val="28"/>
          <w:szCs w:val="28"/>
        </w:rPr>
        <w:t>стать</w:t>
      </w:r>
      <w:r w:rsidR="00556BB0">
        <w:rPr>
          <w:rFonts w:ascii="Times New Roman" w:hAnsi="Times New Roman" w:cs="Times New Roman"/>
          <w:sz w:val="28"/>
          <w:szCs w:val="28"/>
        </w:rPr>
        <w:t>и</w:t>
      </w:r>
      <w:r w:rsidRPr="00520B11">
        <w:rPr>
          <w:rFonts w:ascii="Times New Roman" w:hAnsi="Times New Roman" w:cs="Times New Roman"/>
          <w:sz w:val="28"/>
          <w:szCs w:val="28"/>
        </w:rPr>
        <w:t xml:space="preserve"> 38 Федерального закона от 05.04.2013 № 44 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0B11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нужд», приказом Министерства финансов России от 31.07.2020 № 158н «Об утверждении Типового положения (регламента) о контрактной службе</w:t>
      </w:r>
      <w:r w:rsidR="00556BB0">
        <w:rPr>
          <w:rFonts w:ascii="Times New Roman" w:hAnsi="Times New Roman" w:cs="Times New Roman"/>
          <w:sz w:val="28"/>
          <w:szCs w:val="28"/>
        </w:rPr>
        <w:t>»</w:t>
      </w:r>
    </w:p>
    <w:p w:rsidR="00520B11" w:rsidRDefault="00520B11" w:rsidP="00BE2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F76EF9" w:rsidP="00BE2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0B11" w:rsidRDefault="00520B11" w:rsidP="00BE2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11" w:rsidRDefault="00520B11" w:rsidP="00BE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0757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07573">
        <w:rPr>
          <w:rFonts w:ascii="Times New Roman" w:hAnsi="Times New Roman" w:cs="Times New Roman"/>
          <w:sz w:val="28"/>
          <w:szCs w:val="28"/>
        </w:rPr>
        <w:t>о контрактной службе</w:t>
      </w:r>
      <w:r w:rsidR="00556BB0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края</w:t>
      </w:r>
      <w:r w:rsidRPr="00B07573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B0757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0757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20B11" w:rsidRDefault="00520B11" w:rsidP="00BE2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Признать утратившим силу приказ Министерства сельского хозяйства, пищевой и перерабатывающей промышленности Камчатского края от 24.03.2014 № 29/65 «Об утверждении Положения о контрактной службе Министерства сельского хозяйства, пищевой и перерабатывающей промышленности Камчатского края»</w:t>
      </w:r>
      <w:r w:rsidR="00CA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B11" w:rsidRDefault="00E800EA" w:rsidP="00BE2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0EA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E800EA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556BB0">
        <w:rPr>
          <w:rFonts w:ascii="Times New Roman" w:hAnsi="Times New Roman" w:cs="Times New Roman"/>
          <w:bCs/>
          <w:sz w:val="28"/>
          <w:szCs w:val="28"/>
        </w:rPr>
        <w:t>после дня его о</w:t>
      </w:r>
      <w:r w:rsidRPr="00E800EA">
        <w:rPr>
          <w:rFonts w:ascii="Times New Roman" w:hAnsi="Times New Roman" w:cs="Times New Roman"/>
          <w:bCs/>
          <w:sz w:val="28"/>
          <w:szCs w:val="28"/>
        </w:rPr>
        <w:t>фициального опубликования.</w:t>
      </w:r>
    </w:p>
    <w:p w:rsidR="00520B11" w:rsidRDefault="00520B11" w:rsidP="00BE2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DA3" w:rsidRDefault="00FD7DA3" w:rsidP="00BE2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6602" w:rsidRPr="00B66FE2" w:rsidRDefault="00056602" w:rsidP="00056602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3796"/>
        <w:gridCol w:w="2775"/>
      </w:tblGrid>
      <w:tr w:rsidR="00056602" w:rsidRPr="00462409" w:rsidTr="00FC3E46">
        <w:trPr>
          <w:trHeight w:val="442"/>
        </w:trPr>
        <w:tc>
          <w:tcPr>
            <w:tcW w:w="3494" w:type="dxa"/>
            <w:shd w:val="clear" w:color="auto" w:fill="auto"/>
          </w:tcPr>
          <w:p w:rsidR="00056602" w:rsidRPr="00462409" w:rsidRDefault="00056602" w:rsidP="00FC3E4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0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056602" w:rsidRPr="00462409" w:rsidRDefault="00056602" w:rsidP="00FC3E4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96" w:type="dxa"/>
            <w:shd w:val="clear" w:color="auto" w:fill="auto"/>
          </w:tcPr>
          <w:p w:rsidR="00056602" w:rsidRPr="00462409" w:rsidRDefault="00056602" w:rsidP="00FC3E4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6240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56602" w:rsidRPr="00462409" w:rsidRDefault="00056602" w:rsidP="00FC3E4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056602" w:rsidRPr="00462409" w:rsidRDefault="00056602" w:rsidP="00FC3E4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:rsidR="00E800EA" w:rsidRPr="00E37A9F" w:rsidRDefault="00E800EA" w:rsidP="00E800EA">
      <w:pPr>
        <w:spacing w:after="0"/>
        <w:ind w:left="5811"/>
        <w:jc w:val="both"/>
        <w:rPr>
          <w:rFonts w:ascii="Times New Roman" w:hAnsi="Times New Roman"/>
          <w:sz w:val="28"/>
          <w:szCs w:val="28"/>
        </w:rPr>
      </w:pPr>
      <w:r w:rsidRPr="00E37A9F">
        <w:rPr>
          <w:rFonts w:ascii="Times New Roman" w:hAnsi="Times New Roman"/>
          <w:sz w:val="28"/>
          <w:szCs w:val="28"/>
        </w:rPr>
        <w:lastRenderedPageBreak/>
        <w:t xml:space="preserve">Приложение к приказу Министерству сельского хозяйства, пищевой и перерабатывающей промышленности Камчатского края </w:t>
      </w:r>
    </w:p>
    <w:p w:rsidR="00E800EA" w:rsidRPr="00E37A9F" w:rsidRDefault="00E800EA" w:rsidP="00E800EA">
      <w:pPr>
        <w:spacing w:after="0"/>
        <w:ind w:left="5811"/>
        <w:jc w:val="both"/>
        <w:rPr>
          <w:rFonts w:ascii="Times New Roman" w:hAnsi="Times New Roman"/>
        </w:rPr>
      </w:pPr>
      <w:r w:rsidRPr="00E37A9F">
        <w:rPr>
          <w:rFonts w:ascii="Times New Roman" w:hAnsi="Times New Roman"/>
          <w:sz w:val="28"/>
          <w:szCs w:val="28"/>
        </w:rPr>
        <w:t xml:space="preserve">от </w:t>
      </w:r>
      <w:r w:rsidRPr="00E37A9F">
        <w:rPr>
          <w:rFonts w:ascii="Times New Roman" w:hAnsi="Times New Roman"/>
        </w:rPr>
        <w:t>[</w:t>
      </w:r>
      <w:r w:rsidRPr="00E37A9F">
        <w:rPr>
          <w:rFonts w:ascii="Times New Roman" w:hAnsi="Times New Roman"/>
          <w:color w:val="C9C9C9" w:themeColor="accent3" w:themeTint="99"/>
        </w:rPr>
        <w:t>Дата регистрации</w:t>
      </w:r>
      <w:r w:rsidRPr="00E37A9F">
        <w:rPr>
          <w:rFonts w:ascii="Times New Roman" w:hAnsi="Times New Roman"/>
        </w:rPr>
        <w:t>] № [</w:t>
      </w:r>
      <w:r w:rsidRPr="00E37A9F">
        <w:rPr>
          <w:rFonts w:ascii="Times New Roman" w:hAnsi="Times New Roman"/>
          <w:color w:val="C9C9C9" w:themeColor="accent3" w:themeTint="99"/>
        </w:rPr>
        <w:t>Номер документа</w:t>
      </w:r>
      <w:r w:rsidRPr="00E37A9F">
        <w:rPr>
          <w:rFonts w:ascii="Times New Roman" w:hAnsi="Times New Roman"/>
        </w:rPr>
        <w:t>]</w:t>
      </w:r>
    </w:p>
    <w:p w:rsidR="00E800EA" w:rsidRPr="00E37A9F" w:rsidRDefault="00E800EA" w:rsidP="00E800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EA" w:rsidRDefault="00E800EA" w:rsidP="00BE2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B11" w:rsidRDefault="00520B11" w:rsidP="00BE2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0EA" w:rsidRPr="00056602" w:rsidRDefault="00FE1F73" w:rsidP="00056602">
      <w:pPr>
        <w:pStyle w:val="ConsPlusTitle"/>
        <w:spacing w:line="24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6602">
        <w:rPr>
          <w:rFonts w:ascii="Times New Roman" w:hAnsi="Times New Roman" w:cs="Times New Roman"/>
          <w:b w:val="0"/>
          <w:sz w:val="28"/>
          <w:szCs w:val="28"/>
        </w:rPr>
        <w:t>1</w:t>
      </w:r>
      <w:r w:rsidR="00E800EA" w:rsidRPr="00056602">
        <w:rPr>
          <w:rFonts w:ascii="Times New Roman" w:hAnsi="Times New Roman" w:cs="Times New Roman"/>
          <w:b w:val="0"/>
          <w:sz w:val="28"/>
          <w:szCs w:val="28"/>
        </w:rPr>
        <w:t>.</w:t>
      </w:r>
      <w:r w:rsidRPr="00056602">
        <w:rPr>
          <w:rFonts w:ascii="Times New Roman" w:hAnsi="Times New Roman" w:cs="Times New Roman"/>
          <w:b w:val="0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E800EA" w:rsidRPr="00056602" w:rsidRDefault="00E800EA" w:rsidP="00056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0EA" w:rsidRPr="00056602" w:rsidRDefault="00E800EA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1.</w:t>
      </w:r>
      <w:r w:rsidR="00FE1F73" w:rsidRPr="00056602">
        <w:rPr>
          <w:rFonts w:ascii="Times New Roman" w:hAnsi="Times New Roman" w:cs="Times New Roman"/>
          <w:sz w:val="28"/>
          <w:szCs w:val="28"/>
        </w:rPr>
        <w:t> </w:t>
      </w:r>
      <w:r w:rsidRPr="0005660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E1F73" w:rsidRPr="00056602">
        <w:rPr>
          <w:rFonts w:ascii="Times New Roman" w:hAnsi="Times New Roman" w:cs="Times New Roman"/>
          <w:sz w:val="28"/>
          <w:szCs w:val="28"/>
        </w:rPr>
        <w:t>П</w:t>
      </w:r>
      <w:r w:rsidRPr="00056602">
        <w:rPr>
          <w:rFonts w:ascii="Times New Roman" w:hAnsi="Times New Roman" w:cs="Times New Roman"/>
          <w:sz w:val="28"/>
          <w:szCs w:val="28"/>
        </w:rPr>
        <w:t>оложение о контрактной службе</w:t>
      </w:r>
      <w:r w:rsidR="00293DF2" w:rsidRPr="00056602">
        <w:rPr>
          <w:rFonts w:ascii="Times New Roman" w:hAnsi="Times New Roman" w:cs="Times New Roman"/>
          <w:sz w:val="28"/>
          <w:szCs w:val="28"/>
        </w:rPr>
        <w:t xml:space="preserve"> М</w:t>
      </w:r>
      <w:r w:rsidR="00FE1F73" w:rsidRPr="00056602">
        <w:rPr>
          <w:rFonts w:ascii="Times New Roman" w:hAnsi="Times New Roman" w:cs="Times New Roman"/>
          <w:sz w:val="28"/>
          <w:szCs w:val="28"/>
        </w:rPr>
        <w:t>инистерства сельского хозяйства, пищевой и перерабатывающей промышленности Камчатского края</w:t>
      </w:r>
      <w:r w:rsidRPr="0005660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E1F73" w:rsidRPr="00056602">
        <w:rPr>
          <w:rFonts w:ascii="Times New Roman" w:hAnsi="Times New Roman" w:cs="Times New Roman"/>
          <w:sz w:val="28"/>
          <w:szCs w:val="28"/>
        </w:rPr>
        <w:t> – </w:t>
      </w:r>
      <w:r w:rsidRPr="00056602">
        <w:rPr>
          <w:rFonts w:ascii="Times New Roman" w:hAnsi="Times New Roman" w:cs="Times New Roman"/>
          <w:sz w:val="28"/>
          <w:szCs w:val="28"/>
        </w:rPr>
        <w:t>Положение) устанавливает</w:t>
      </w:r>
      <w:r w:rsidR="00FE1F73" w:rsidRPr="00056602">
        <w:rPr>
          <w:rFonts w:ascii="Times New Roman" w:hAnsi="Times New Roman" w:cs="Times New Roman"/>
          <w:sz w:val="28"/>
          <w:szCs w:val="28"/>
        </w:rPr>
        <w:t xml:space="preserve"> общие</w:t>
      </w:r>
      <w:r w:rsidRPr="00056602">
        <w:rPr>
          <w:rFonts w:ascii="Times New Roman" w:hAnsi="Times New Roman" w:cs="Times New Roman"/>
          <w:sz w:val="28"/>
          <w:szCs w:val="28"/>
        </w:rPr>
        <w:t xml:space="preserve"> правила организации деятельности контрактной службы, основные полномочия контрактной службы </w:t>
      </w:r>
      <w:r w:rsidR="00293DF2" w:rsidRPr="00056602">
        <w:rPr>
          <w:rFonts w:ascii="Times New Roman" w:hAnsi="Times New Roman" w:cs="Times New Roman"/>
          <w:sz w:val="28"/>
          <w:szCs w:val="28"/>
        </w:rPr>
        <w:t>М</w:t>
      </w:r>
      <w:r w:rsidR="00FE1F73" w:rsidRPr="00056602">
        <w:rPr>
          <w:rFonts w:ascii="Times New Roman" w:hAnsi="Times New Roman" w:cs="Times New Roman"/>
          <w:sz w:val="28"/>
          <w:szCs w:val="28"/>
        </w:rPr>
        <w:t>инистерства сельского хозяйства, пищевой и перерабатывающей промышленности Камчатского края</w:t>
      </w:r>
      <w:r w:rsidRPr="0005660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E1F73" w:rsidRPr="00056602">
        <w:rPr>
          <w:rFonts w:ascii="Times New Roman" w:hAnsi="Times New Roman" w:cs="Times New Roman"/>
          <w:sz w:val="28"/>
          <w:szCs w:val="28"/>
        </w:rPr>
        <w:t>–</w:t>
      </w:r>
      <w:r w:rsidRPr="00056602">
        <w:rPr>
          <w:rFonts w:ascii="Times New Roman" w:hAnsi="Times New Roman" w:cs="Times New Roman"/>
          <w:sz w:val="28"/>
          <w:szCs w:val="28"/>
        </w:rPr>
        <w:t xml:space="preserve"> Заказчик), руководителя и работников контрактной службы при осуществлении Заказчиком деятельности, направленной на обеспечение государственных нужд в соответствии с Федеральным </w:t>
      </w:r>
      <w:hyperlink r:id="rId9">
        <w:r w:rsidRPr="000566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6602">
        <w:rPr>
          <w:rFonts w:ascii="Times New Roman" w:hAnsi="Times New Roman" w:cs="Times New Roman"/>
          <w:sz w:val="28"/>
          <w:szCs w:val="28"/>
        </w:rPr>
        <w:t xml:space="preserve"> от </w:t>
      </w:r>
      <w:r w:rsidR="00FE1F73" w:rsidRPr="00056602">
        <w:rPr>
          <w:rFonts w:ascii="Times New Roman" w:hAnsi="Times New Roman" w:cs="Times New Roman"/>
          <w:sz w:val="28"/>
          <w:szCs w:val="28"/>
        </w:rPr>
        <w:t>0</w:t>
      </w:r>
      <w:r w:rsidRPr="00056602">
        <w:rPr>
          <w:rFonts w:ascii="Times New Roman" w:hAnsi="Times New Roman" w:cs="Times New Roman"/>
          <w:sz w:val="28"/>
          <w:szCs w:val="28"/>
        </w:rPr>
        <w:t>5</w:t>
      </w:r>
      <w:r w:rsidR="00FE1F73" w:rsidRPr="00056602">
        <w:rPr>
          <w:rFonts w:ascii="Times New Roman" w:hAnsi="Times New Roman" w:cs="Times New Roman"/>
          <w:sz w:val="28"/>
          <w:szCs w:val="28"/>
        </w:rPr>
        <w:t>.04.</w:t>
      </w:r>
      <w:r w:rsidRPr="00056602">
        <w:rPr>
          <w:rFonts w:ascii="Times New Roman" w:hAnsi="Times New Roman" w:cs="Times New Roman"/>
          <w:sz w:val="28"/>
          <w:szCs w:val="28"/>
        </w:rPr>
        <w:t xml:space="preserve">2013 </w:t>
      </w:r>
      <w:r w:rsidR="00FE1F73" w:rsidRPr="00056602">
        <w:rPr>
          <w:rFonts w:ascii="Times New Roman" w:hAnsi="Times New Roman" w:cs="Times New Roman"/>
          <w:sz w:val="28"/>
          <w:szCs w:val="28"/>
        </w:rPr>
        <w:t>№</w:t>
      </w:r>
      <w:r w:rsidRPr="00056602">
        <w:rPr>
          <w:rFonts w:ascii="Times New Roman" w:hAnsi="Times New Roman" w:cs="Times New Roman"/>
          <w:sz w:val="28"/>
          <w:szCs w:val="28"/>
        </w:rPr>
        <w:t xml:space="preserve"> 44-ФЗ </w:t>
      </w:r>
      <w:r w:rsidR="00FE1F73" w:rsidRPr="00056602">
        <w:rPr>
          <w:rFonts w:ascii="Times New Roman" w:hAnsi="Times New Roman" w:cs="Times New Roman"/>
          <w:sz w:val="28"/>
          <w:szCs w:val="28"/>
        </w:rPr>
        <w:t>«</w:t>
      </w:r>
      <w:r w:rsidRPr="0005660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E1F73" w:rsidRPr="00056602">
        <w:rPr>
          <w:rFonts w:ascii="Times New Roman" w:hAnsi="Times New Roman" w:cs="Times New Roman"/>
          <w:sz w:val="28"/>
          <w:szCs w:val="28"/>
        </w:rPr>
        <w:t>»</w:t>
      </w:r>
      <w:r w:rsidRPr="0005660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E1F73" w:rsidRPr="00056602">
        <w:rPr>
          <w:rFonts w:ascii="Times New Roman" w:hAnsi="Times New Roman" w:cs="Times New Roman"/>
          <w:sz w:val="28"/>
          <w:szCs w:val="28"/>
        </w:rPr>
        <w:t>–</w:t>
      </w:r>
      <w:r w:rsidRPr="00056602">
        <w:rPr>
          <w:rFonts w:ascii="Times New Roman" w:hAnsi="Times New Roman" w:cs="Times New Roman"/>
          <w:sz w:val="28"/>
          <w:szCs w:val="28"/>
        </w:rPr>
        <w:t xml:space="preserve"> Федеральный закон).</w:t>
      </w:r>
    </w:p>
    <w:p w:rsidR="00E800EA" w:rsidRPr="00056602" w:rsidRDefault="00E800EA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2.</w:t>
      </w:r>
      <w:r w:rsidR="00FE1F73" w:rsidRPr="00056602">
        <w:rPr>
          <w:rFonts w:ascii="Times New Roman" w:hAnsi="Times New Roman" w:cs="Times New Roman"/>
          <w:sz w:val="28"/>
          <w:szCs w:val="28"/>
        </w:rPr>
        <w:t> </w:t>
      </w:r>
      <w:r w:rsidRPr="00056602">
        <w:rPr>
          <w:rFonts w:ascii="Times New Roman" w:hAnsi="Times New Roman" w:cs="Times New Roman"/>
          <w:sz w:val="28"/>
          <w:szCs w:val="28"/>
        </w:rPr>
        <w:t>Контрактная служба</w:t>
      </w:r>
      <w:r w:rsidR="00293DF2" w:rsidRPr="00056602">
        <w:rPr>
          <w:rFonts w:ascii="Times New Roman" w:hAnsi="Times New Roman" w:cs="Times New Roman"/>
          <w:sz w:val="28"/>
          <w:szCs w:val="28"/>
        </w:rPr>
        <w:t xml:space="preserve"> М</w:t>
      </w:r>
      <w:r w:rsidR="00FE1F73" w:rsidRPr="00056602">
        <w:rPr>
          <w:rFonts w:ascii="Times New Roman" w:hAnsi="Times New Roman" w:cs="Times New Roman"/>
          <w:sz w:val="28"/>
          <w:szCs w:val="28"/>
        </w:rPr>
        <w:t xml:space="preserve">инистерства сельского хозяйства, пищевой и перерабатывающей промышленности Камчатского края (далее – </w:t>
      </w:r>
      <w:r w:rsidR="00195EC9" w:rsidRPr="00056602">
        <w:rPr>
          <w:rFonts w:ascii="Times New Roman" w:hAnsi="Times New Roman" w:cs="Times New Roman"/>
          <w:sz w:val="28"/>
          <w:szCs w:val="28"/>
        </w:rPr>
        <w:t>к</w:t>
      </w:r>
      <w:r w:rsidR="00FE1F73" w:rsidRPr="00056602">
        <w:rPr>
          <w:rFonts w:ascii="Times New Roman" w:hAnsi="Times New Roman" w:cs="Times New Roman"/>
          <w:sz w:val="28"/>
          <w:szCs w:val="28"/>
        </w:rPr>
        <w:t>онтрактная службы)</w:t>
      </w:r>
      <w:r w:rsidRPr="0005660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10">
        <w:r w:rsidRPr="0005660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5660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>
        <w:r w:rsidRPr="000566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6602">
        <w:rPr>
          <w:rFonts w:ascii="Times New Roman" w:hAnsi="Times New Roman" w:cs="Times New Roman"/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нужд, Положением, иными нормативными правовыми актами Российской Федерации</w:t>
      </w:r>
      <w:r w:rsidR="00293DF2" w:rsidRPr="00056602">
        <w:rPr>
          <w:rFonts w:ascii="Times New Roman" w:hAnsi="Times New Roman" w:cs="Times New Roman"/>
          <w:sz w:val="28"/>
          <w:szCs w:val="28"/>
        </w:rPr>
        <w:t>,</w:t>
      </w:r>
      <w:r w:rsidR="00195EC9" w:rsidRPr="0005660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293DF2" w:rsidRPr="00056602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</w:t>
      </w:r>
      <w:r w:rsidR="00FE1F73" w:rsidRPr="00056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0EA" w:rsidRPr="00056602" w:rsidRDefault="00E800EA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3.</w:t>
      </w:r>
      <w:r w:rsidR="00FE1F73" w:rsidRPr="00056602">
        <w:rPr>
          <w:rFonts w:ascii="Times New Roman" w:hAnsi="Times New Roman" w:cs="Times New Roman"/>
          <w:sz w:val="28"/>
          <w:szCs w:val="28"/>
        </w:rPr>
        <w:t> </w:t>
      </w:r>
      <w:r w:rsidRPr="00056602">
        <w:rPr>
          <w:rFonts w:ascii="Times New Roman" w:hAnsi="Times New Roman" w:cs="Times New Roman"/>
          <w:sz w:val="28"/>
          <w:szCs w:val="28"/>
        </w:rPr>
        <w:t xml:space="preserve">Контрактная служба осуществляет свою деятельность во взаимодействии с другими </w:t>
      </w:r>
      <w:r w:rsidR="00293DF2" w:rsidRPr="00056602">
        <w:rPr>
          <w:rFonts w:ascii="Times New Roman" w:hAnsi="Times New Roman" w:cs="Times New Roman"/>
          <w:sz w:val="28"/>
          <w:szCs w:val="28"/>
        </w:rPr>
        <w:t>отделами</w:t>
      </w:r>
      <w:r w:rsidRPr="00056602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E800EA" w:rsidRPr="00056602" w:rsidRDefault="00E800EA" w:rsidP="00056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0EA" w:rsidRPr="00056602" w:rsidRDefault="00195EC9" w:rsidP="00056602">
      <w:pPr>
        <w:pStyle w:val="ConsPlusTitle"/>
        <w:spacing w:line="24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6602">
        <w:rPr>
          <w:rFonts w:ascii="Times New Roman" w:hAnsi="Times New Roman" w:cs="Times New Roman"/>
          <w:b w:val="0"/>
          <w:sz w:val="28"/>
          <w:szCs w:val="28"/>
        </w:rPr>
        <w:t>2</w:t>
      </w:r>
      <w:r w:rsidR="00E800EA" w:rsidRPr="00056602">
        <w:rPr>
          <w:rFonts w:ascii="Times New Roman" w:hAnsi="Times New Roman" w:cs="Times New Roman"/>
          <w:b w:val="0"/>
          <w:sz w:val="28"/>
          <w:szCs w:val="28"/>
        </w:rPr>
        <w:t>.</w:t>
      </w:r>
      <w:r w:rsidRPr="00056602">
        <w:rPr>
          <w:rFonts w:ascii="Times New Roman" w:hAnsi="Times New Roman" w:cs="Times New Roman"/>
          <w:b w:val="0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b w:val="0"/>
          <w:sz w:val="28"/>
          <w:szCs w:val="28"/>
        </w:rPr>
        <w:t>Организация деятельности контрактной службы</w:t>
      </w:r>
    </w:p>
    <w:p w:rsidR="00E800EA" w:rsidRPr="00056602" w:rsidRDefault="00E800EA" w:rsidP="00056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4</w:t>
      </w:r>
      <w:r w:rsidR="00E800EA" w:rsidRPr="00056602">
        <w:rPr>
          <w:rFonts w:ascii="Times New Roman" w:hAnsi="Times New Roman" w:cs="Times New Roman"/>
          <w:sz w:val="28"/>
          <w:szCs w:val="28"/>
        </w:rPr>
        <w:t>.</w:t>
      </w:r>
      <w:r w:rsidRPr="00056602">
        <w:rPr>
          <w:rFonts w:ascii="Times New Roman" w:hAnsi="Times New Roman" w:cs="Times New Roman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Функции и полномочия </w:t>
      </w:r>
      <w:r w:rsidRPr="00056602">
        <w:rPr>
          <w:rFonts w:ascii="Times New Roman" w:hAnsi="Times New Roman" w:cs="Times New Roman"/>
          <w:sz w:val="28"/>
          <w:szCs w:val="28"/>
        </w:rPr>
        <w:t>к</w:t>
      </w:r>
      <w:r w:rsidR="00E800EA" w:rsidRPr="00056602">
        <w:rPr>
          <w:rFonts w:ascii="Times New Roman" w:hAnsi="Times New Roman" w:cs="Times New Roman"/>
          <w:sz w:val="28"/>
          <w:szCs w:val="28"/>
        </w:rPr>
        <w:t>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</w:t>
      </w:r>
      <w:r w:rsidRPr="00056602">
        <w:rPr>
          <w:rFonts w:ascii="Times New Roman" w:hAnsi="Times New Roman" w:cs="Times New Roman"/>
          <w:sz w:val="28"/>
          <w:szCs w:val="28"/>
        </w:rPr>
        <w:t>.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5</w:t>
      </w:r>
      <w:r w:rsidR="00E800EA" w:rsidRPr="00056602">
        <w:rPr>
          <w:rFonts w:ascii="Times New Roman" w:hAnsi="Times New Roman" w:cs="Times New Roman"/>
          <w:sz w:val="28"/>
          <w:szCs w:val="28"/>
        </w:rPr>
        <w:t>.</w:t>
      </w:r>
      <w:r w:rsidRPr="00056602">
        <w:rPr>
          <w:rFonts w:ascii="Times New Roman" w:hAnsi="Times New Roman" w:cs="Times New Roman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sz w:val="28"/>
          <w:szCs w:val="28"/>
        </w:rPr>
        <w:t>Структура и штатная численность контрактной службы определяются руководителем Заказчика и не может составлять менее двух человек.</w:t>
      </w: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6. </w:t>
      </w:r>
      <w:r w:rsidR="00E800EA" w:rsidRPr="00056602">
        <w:rPr>
          <w:rFonts w:ascii="Times New Roman" w:hAnsi="Times New Roman" w:cs="Times New Roman"/>
          <w:sz w:val="28"/>
          <w:szCs w:val="28"/>
        </w:rPr>
        <w:t>Контрактную службу возглавляет руководитель, назначаемый на должность приказом руководителя Заказчика, уполномоченного лица, исполняющего его обязанности, либо уполномоченного руководителем лица.</w:t>
      </w: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7</w:t>
      </w:r>
      <w:r w:rsidR="00E800EA" w:rsidRPr="00056602">
        <w:rPr>
          <w:rFonts w:ascii="Times New Roman" w:hAnsi="Times New Roman" w:cs="Times New Roman"/>
          <w:sz w:val="28"/>
          <w:szCs w:val="28"/>
        </w:rPr>
        <w:t>.</w:t>
      </w:r>
      <w:r w:rsidRPr="00056602">
        <w:rPr>
          <w:rFonts w:ascii="Times New Roman" w:hAnsi="Times New Roman" w:cs="Times New Roman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Руководитель контрактной службы распределяет определенные разделом </w:t>
      </w:r>
      <w:r w:rsidRPr="00056602">
        <w:rPr>
          <w:rFonts w:ascii="Times New Roman" w:hAnsi="Times New Roman" w:cs="Times New Roman"/>
          <w:sz w:val="28"/>
          <w:szCs w:val="28"/>
        </w:rPr>
        <w:t>3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 Положения функции и полномочия между работниками контрактной службы.</w:t>
      </w: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800EA" w:rsidRPr="00056602">
        <w:rPr>
          <w:rFonts w:ascii="Times New Roman" w:hAnsi="Times New Roman" w:cs="Times New Roman"/>
          <w:sz w:val="28"/>
          <w:szCs w:val="28"/>
        </w:rPr>
        <w:t>.</w:t>
      </w:r>
      <w:r w:rsidRPr="00056602">
        <w:rPr>
          <w:rFonts w:ascii="Times New Roman" w:hAnsi="Times New Roman" w:cs="Times New Roman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sz w:val="28"/>
          <w:szCs w:val="28"/>
        </w:rPr>
        <w:t>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9</w:t>
      </w:r>
      <w:r w:rsidR="00E800EA" w:rsidRPr="00056602">
        <w:rPr>
          <w:rFonts w:ascii="Times New Roman" w:hAnsi="Times New Roman" w:cs="Times New Roman"/>
          <w:sz w:val="28"/>
          <w:szCs w:val="28"/>
        </w:rPr>
        <w:t>.</w:t>
      </w:r>
      <w:r w:rsidRPr="00056602">
        <w:rPr>
          <w:rFonts w:ascii="Times New Roman" w:hAnsi="Times New Roman" w:cs="Times New Roman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12">
        <w:r w:rsidR="00E800EA" w:rsidRPr="00056602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E800EA" w:rsidRPr="00056602" w:rsidRDefault="00E800EA" w:rsidP="00056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0EA" w:rsidRPr="00056602" w:rsidRDefault="00195EC9" w:rsidP="00056602">
      <w:pPr>
        <w:pStyle w:val="ConsPlusTitle"/>
        <w:spacing w:line="24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6602">
        <w:rPr>
          <w:rFonts w:ascii="Times New Roman" w:hAnsi="Times New Roman" w:cs="Times New Roman"/>
          <w:b w:val="0"/>
          <w:sz w:val="28"/>
          <w:szCs w:val="28"/>
        </w:rPr>
        <w:t>3</w:t>
      </w:r>
      <w:r w:rsidR="00E800EA" w:rsidRPr="00056602">
        <w:rPr>
          <w:rFonts w:ascii="Times New Roman" w:hAnsi="Times New Roman" w:cs="Times New Roman"/>
          <w:b w:val="0"/>
          <w:sz w:val="28"/>
          <w:szCs w:val="28"/>
        </w:rPr>
        <w:t>.</w:t>
      </w:r>
      <w:r w:rsidRPr="00056602">
        <w:rPr>
          <w:rFonts w:ascii="Times New Roman" w:hAnsi="Times New Roman" w:cs="Times New Roman"/>
          <w:b w:val="0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b w:val="0"/>
          <w:sz w:val="28"/>
          <w:szCs w:val="28"/>
        </w:rPr>
        <w:t>Функции и полномочия контрактной службы</w:t>
      </w:r>
    </w:p>
    <w:p w:rsidR="00E800EA" w:rsidRPr="00056602" w:rsidRDefault="00E800EA" w:rsidP="00056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10</w:t>
      </w:r>
      <w:r w:rsidR="00E800EA" w:rsidRPr="00056602">
        <w:rPr>
          <w:rFonts w:ascii="Times New Roman" w:hAnsi="Times New Roman" w:cs="Times New Roman"/>
          <w:sz w:val="28"/>
          <w:szCs w:val="28"/>
        </w:rPr>
        <w:t>.</w:t>
      </w:r>
      <w:r w:rsidRPr="00056602">
        <w:rPr>
          <w:rFonts w:ascii="Times New Roman" w:hAnsi="Times New Roman" w:cs="Times New Roman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sz w:val="28"/>
          <w:szCs w:val="28"/>
        </w:rPr>
        <w:t>Контрактная служба осуществляет следующие функции и полномочия:</w:t>
      </w:r>
    </w:p>
    <w:p w:rsidR="00E800EA" w:rsidRPr="00056602" w:rsidRDefault="00E800EA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1</w:t>
      </w:r>
      <w:r w:rsidR="00195EC9" w:rsidRPr="00056602">
        <w:rPr>
          <w:rFonts w:ascii="Times New Roman" w:hAnsi="Times New Roman" w:cs="Times New Roman"/>
          <w:sz w:val="28"/>
          <w:szCs w:val="28"/>
        </w:rPr>
        <w:t>)</w:t>
      </w:r>
      <w:r w:rsidRPr="00056602">
        <w:rPr>
          <w:rFonts w:ascii="Times New Roman" w:hAnsi="Times New Roman" w:cs="Times New Roman"/>
          <w:sz w:val="28"/>
          <w:szCs w:val="28"/>
        </w:rPr>
        <w:t xml:space="preserve"> </w:t>
      </w:r>
      <w:r w:rsidR="00F41E36" w:rsidRPr="00056602">
        <w:rPr>
          <w:rFonts w:ascii="Times New Roman" w:hAnsi="Times New Roman" w:cs="Times New Roman"/>
          <w:sz w:val="28"/>
          <w:szCs w:val="28"/>
        </w:rPr>
        <w:t>п</w:t>
      </w:r>
      <w:r w:rsidRPr="00056602">
        <w:rPr>
          <w:rFonts w:ascii="Times New Roman" w:hAnsi="Times New Roman" w:cs="Times New Roman"/>
          <w:sz w:val="28"/>
          <w:szCs w:val="28"/>
        </w:rPr>
        <w:t>ри планировании закупок:</w:t>
      </w: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а) </w:t>
      </w:r>
      <w:r w:rsidR="00E800EA" w:rsidRPr="00056602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в план-график;</w:t>
      </w: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б)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размещает в единой информационной системе в сфере закупок (далее </w:t>
      </w:r>
      <w:r w:rsidRPr="00056602">
        <w:rPr>
          <w:rFonts w:ascii="Times New Roman" w:hAnsi="Times New Roman" w:cs="Times New Roman"/>
          <w:sz w:val="28"/>
          <w:szCs w:val="28"/>
        </w:rPr>
        <w:t>–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 единая информационная система) план-график и внесенные в него изменения;</w:t>
      </w:r>
    </w:p>
    <w:p w:rsidR="00E800EA" w:rsidRPr="00056602" w:rsidRDefault="00195EC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в)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организует общественное обсуждение закупок в случаях, предусмотренных </w:t>
      </w:r>
      <w:hyperlink r:id="rId13">
        <w:r w:rsidR="00E800EA" w:rsidRPr="00056602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800EA" w:rsidRPr="00056602" w:rsidRDefault="008E5448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г) </w:t>
      </w:r>
      <w:r w:rsidR="00E800EA" w:rsidRPr="00056602">
        <w:rPr>
          <w:rFonts w:ascii="Times New Roman" w:hAnsi="Times New Roman" w:cs="Times New Roman"/>
          <w:sz w:val="28"/>
          <w:szCs w:val="28"/>
        </w:rPr>
        <w:t>разрабатывает требования к закупаемым Заказчиком</w:t>
      </w:r>
      <w:r w:rsidRPr="00056602">
        <w:rPr>
          <w:rFonts w:ascii="Times New Roman" w:hAnsi="Times New Roman" w:cs="Times New Roman"/>
          <w:sz w:val="28"/>
          <w:szCs w:val="28"/>
        </w:rPr>
        <w:t xml:space="preserve"> </w:t>
      </w:r>
      <w:r w:rsidR="00E800EA" w:rsidRPr="00056602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  <w:r w:rsidRPr="00056602">
        <w:rPr>
          <w:rFonts w:ascii="Times New Roman" w:hAnsi="Times New Roman" w:cs="Times New Roman"/>
          <w:sz w:val="28"/>
          <w:szCs w:val="28"/>
        </w:rPr>
        <w:t xml:space="preserve"> 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на основании правовых актов о нормировании в соответствии со </w:t>
      </w:r>
      <w:hyperlink r:id="rId14">
        <w:r w:rsidR="00E800EA" w:rsidRPr="00056602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800EA" w:rsidRPr="00056602" w:rsidRDefault="008E5448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д)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нужд.</w:t>
      </w:r>
    </w:p>
    <w:p w:rsidR="00E800EA" w:rsidRPr="00056602" w:rsidRDefault="00E800EA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2</w:t>
      </w:r>
      <w:r w:rsidR="008E5448" w:rsidRPr="00056602">
        <w:rPr>
          <w:rFonts w:ascii="Times New Roman" w:hAnsi="Times New Roman" w:cs="Times New Roman"/>
          <w:sz w:val="28"/>
          <w:szCs w:val="28"/>
        </w:rPr>
        <w:t>) </w:t>
      </w:r>
      <w:r w:rsidR="00F41E36" w:rsidRPr="00056602">
        <w:rPr>
          <w:rFonts w:ascii="Times New Roman" w:hAnsi="Times New Roman" w:cs="Times New Roman"/>
          <w:sz w:val="28"/>
          <w:szCs w:val="28"/>
        </w:rPr>
        <w:t>п</w:t>
      </w:r>
      <w:r w:rsidRPr="00056602">
        <w:rPr>
          <w:rFonts w:ascii="Times New Roman" w:hAnsi="Times New Roman" w:cs="Times New Roman"/>
          <w:sz w:val="28"/>
          <w:szCs w:val="28"/>
        </w:rPr>
        <w:t>ри определении поставщиков (подрядчиков, исполнителей):</w:t>
      </w:r>
    </w:p>
    <w:p w:rsidR="00E800EA" w:rsidRPr="00056602" w:rsidRDefault="008E5448" w:rsidP="00056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а)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обеспечивает проведение закрытых</w:t>
      </w:r>
      <w:r w:rsidR="005911B3" w:rsidRPr="00056602">
        <w:rPr>
          <w:rFonts w:ascii="Times New Roman" w:hAnsi="Times New Roman" w:cs="Times New Roman"/>
          <w:sz w:val="28"/>
          <w:szCs w:val="28"/>
        </w:rPr>
        <w:t xml:space="preserve"> конкурентных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способов определения поставщиков (подрядчиков, исполнителей) в случаях, установленных </w:t>
      </w:r>
      <w:hyperlink r:id="rId15">
        <w:r w:rsidR="00E800EA" w:rsidRPr="00056602">
          <w:rPr>
            <w:rFonts w:ascii="Times New Roman" w:hAnsi="Times New Roman" w:cs="Times New Roman"/>
            <w:sz w:val="28"/>
            <w:szCs w:val="28"/>
          </w:rPr>
          <w:t>частями 11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="00E800EA" w:rsidRPr="00056602">
          <w:rPr>
            <w:rFonts w:ascii="Times New Roman" w:hAnsi="Times New Roman" w:cs="Times New Roman"/>
            <w:sz w:val="28"/>
            <w:szCs w:val="28"/>
          </w:rPr>
          <w:t>12 статьи 24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</w:t>
      </w:r>
      <w:r w:rsidR="005911B3" w:rsidRPr="00056602">
        <w:rPr>
          <w:rFonts w:ascii="Times New Roman" w:hAnsi="Times New Roman" w:cs="Times New Roman"/>
          <w:sz w:val="28"/>
          <w:szCs w:val="28"/>
        </w:rPr>
        <w:t xml:space="preserve"> (если такое согласование предусмотрено Федеральным законом)</w:t>
      </w:r>
      <w:r w:rsidR="00E800EA" w:rsidRPr="00056602">
        <w:rPr>
          <w:rFonts w:ascii="Times New Roman" w:hAnsi="Times New Roman" w:cs="Times New Roman"/>
          <w:sz w:val="28"/>
          <w:szCs w:val="28"/>
        </w:rPr>
        <w:t>;</w:t>
      </w:r>
    </w:p>
    <w:p w:rsidR="00E800EA" w:rsidRPr="00056602" w:rsidRDefault="00621F3C" w:rsidP="00056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б)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подготовку и размещение в единой информационной системе извещений об осуществлении за</w:t>
      </w:r>
      <w:r w:rsidRPr="00056602">
        <w:rPr>
          <w:rFonts w:ascii="Times New Roman" w:hAnsi="Times New Roman" w:cs="Times New Roman"/>
          <w:sz w:val="28"/>
          <w:szCs w:val="28"/>
        </w:rPr>
        <w:t>купок, документации о закупках</w:t>
      </w:r>
      <w:r w:rsidR="005911B3" w:rsidRPr="00056602">
        <w:rPr>
          <w:rFonts w:ascii="Times New Roman" w:hAnsi="Times New Roman" w:cs="Times New Roman"/>
          <w:sz w:val="28"/>
          <w:szCs w:val="28"/>
        </w:rPr>
        <w:t xml:space="preserve"> (в случае, если Федеральным законом предусмотрена документация о закупках)</w:t>
      </w:r>
      <w:r w:rsidR="00E800EA" w:rsidRPr="00056602">
        <w:rPr>
          <w:rFonts w:ascii="Times New Roman" w:hAnsi="Times New Roman" w:cs="Times New Roman"/>
          <w:sz w:val="28"/>
          <w:szCs w:val="28"/>
        </w:rPr>
        <w:t>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E800EA" w:rsidRPr="00056602" w:rsidRDefault="009D79D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в)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E800EA" w:rsidRPr="00056602" w:rsidRDefault="009D79D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г)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описание объекта закупки;</w:t>
      </w:r>
    </w:p>
    <w:p w:rsidR="00E800EA" w:rsidRPr="00056602" w:rsidRDefault="009D79D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lastRenderedPageBreak/>
        <w:t>д)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указывает в извещении об осуществлении закупки информацию, предусмотренную </w:t>
      </w:r>
      <w:hyperlink r:id="rId17">
        <w:r w:rsidR="00E800EA" w:rsidRPr="00056602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информацию:</w:t>
      </w:r>
    </w:p>
    <w:p w:rsidR="00E800EA" w:rsidRPr="00056602" w:rsidRDefault="00E800EA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8">
        <w:r w:rsidRPr="0005660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D79DC" w:rsidRPr="00056602" w:rsidRDefault="009D79D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о преимуществах участия в определении поставщика (подрядчика, исполнителя) в соответствии с частью 3 статьи 30 Федерального закона или требование, установленное в соответствии с частью 5 статьи 30 Федерального закона, с указанием в соответствии с частью 6 статьи 30 Федерального закона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</w:p>
    <w:p w:rsidR="00E800EA" w:rsidRPr="00056602" w:rsidRDefault="00E800EA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 xml:space="preserve">о преимуществах, предоставляемых в соответствии со </w:t>
      </w:r>
      <w:hyperlink r:id="rId19">
        <w:r w:rsidRPr="00056602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056602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056602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800EA" w:rsidRPr="00056602" w:rsidRDefault="009D79D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е</w:t>
      </w:r>
      <w:r w:rsidR="00621F3C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подготовку и размещение в единой информационной системе разъяснений положений</w:t>
      </w:r>
      <w:r w:rsidR="005911B3" w:rsidRPr="00056602"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закупки,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 документации о закупке</w:t>
      </w:r>
      <w:r w:rsidR="005911B3" w:rsidRPr="00056602">
        <w:rPr>
          <w:rFonts w:ascii="Times New Roman" w:hAnsi="Times New Roman" w:cs="Times New Roman"/>
          <w:sz w:val="28"/>
          <w:szCs w:val="28"/>
        </w:rPr>
        <w:t xml:space="preserve"> (в случае, если Федеральным законом предусмотрена документация о закупке)</w:t>
      </w:r>
      <w:r w:rsidR="00E800EA" w:rsidRPr="00056602">
        <w:rPr>
          <w:rFonts w:ascii="Times New Roman" w:hAnsi="Times New Roman" w:cs="Times New Roman"/>
          <w:sz w:val="28"/>
          <w:szCs w:val="28"/>
        </w:rPr>
        <w:t>;</w:t>
      </w:r>
      <w:r w:rsidR="005911B3" w:rsidRPr="00056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EA" w:rsidRPr="00056602" w:rsidRDefault="009D79D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ж</w:t>
      </w:r>
      <w:r w:rsidR="00621F3C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</w:t>
      </w:r>
      <w:r w:rsidR="005911B3" w:rsidRPr="00056602">
        <w:rPr>
          <w:rFonts w:ascii="Times New Roman" w:hAnsi="Times New Roman" w:cs="Times New Roman"/>
          <w:sz w:val="28"/>
          <w:szCs w:val="28"/>
        </w:rPr>
        <w:t xml:space="preserve"> (в случае, если Федеральным законом предусмотрена документация о закупке)</w:t>
      </w:r>
      <w:r w:rsidR="00E800EA" w:rsidRPr="00056602">
        <w:rPr>
          <w:rFonts w:ascii="Times New Roman" w:hAnsi="Times New Roman" w:cs="Times New Roman"/>
          <w:sz w:val="28"/>
          <w:szCs w:val="28"/>
        </w:rPr>
        <w:t>;</w:t>
      </w:r>
    </w:p>
    <w:p w:rsidR="00E800EA" w:rsidRPr="00056602" w:rsidRDefault="009D79D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з</w:t>
      </w:r>
      <w:r w:rsidR="00621F3C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E800EA" w:rsidRPr="00056602" w:rsidRDefault="009D79D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и</w:t>
      </w:r>
      <w:r w:rsidR="00621F3C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деятельности комиссии по осуществлению закупок;</w:t>
      </w:r>
    </w:p>
    <w:p w:rsidR="00E800EA" w:rsidRPr="00056602" w:rsidRDefault="009D79D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к</w:t>
      </w:r>
      <w:r w:rsidR="00621F3C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осуществляет привлечение экспертов, экспертных организаций в случаях, установленных </w:t>
      </w:r>
      <w:hyperlink r:id="rId21">
        <w:r w:rsidR="00E800EA" w:rsidRPr="00056602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800EA" w:rsidRPr="00056602" w:rsidRDefault="00E800EA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3</w:t>
      </w:r>
      <w:r w:rsidR="00621F3C" w:rsidRPr="00056602">
        <w:rPr>
          <w:rFonts w:ascii="Times New Roman" w:hAnsi="Times New Roman" w:cs="Times New Roman"/>
          <w:sz w:val="28"/>
          <w:szCs w:val="28"/>
        </w:rPr>
        <w:t>) </w:t>
      </w:r>
      <w:r w:rsidR="00F41E36" w:rsidRPr="00056602">
        <w:rPr>
          <w:rFonts w:ascii="Times New Roman" w:hAnsi="Times New Roman" w:cs="Times New Roman"/>
          <w:sz w:val="28"/>
          <w:szCs w:val="28"/>
        </w:rPr>
        <w:t>п</w:t>
      </w:r>
      <w:r w:rsidRPr="00056602">
        <w:rPr>
          <w:rFonts w:ascii="Times New Roman" w:hAnsi="Times New Roman" w:cs="Times New Roman"/>
          <w:sz w:val="28"/>
          <w:szCs w:val="28"/>
        </w:rPr>
        <w:t>ри заключении контрактов:</w:t>
      </w:r>
    </w:p>
    <w:p w:rsidR="00E800EA" w:rsidRPr="00056602" w:rsidRDefault="00621F3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а)</w:t>
      </w:r>
      <w:r w:rsidR="00FC77DD" w:rsidRPr="00056602">
        <w:rPr>
          <w:rFonts w:ascii="Times New Roman" w:hAnsi="Times New Roman" w:cs="Times New Roman"/>
          <w:sz w:val="28"/>
          <w:szCs w:val="28"/>
        </w:rPr>
        <w:t xml:space="preserve"> формирует и 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E800EA" w:rsidRPr="00056602" w:rsidRDefault="00621F3C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б)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рассмотрение протокола разногласий при наличии разногласий по проекту контракта;</w:t>
      </w:r>
    </w:p>
    <w:p w:rsidR="00E800EA" w:rsidRPr="00056602" w:rsidRDefault="00CC219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в)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5911B3" w:rsidRPr="00056602">
        <w:rPr>
          <w:rFonts w:ascii="Times New Roman" w:hAnsi="Times New Roman" w:cs="Times New Roman"/>
          <w:sz w:val="28"/>
          <w:szCs w:val="28"/>
        </w:rPr>
        <w:t>независимой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 гарантии, представленной в качестве обеспечения исполнения контракта;</w:t>
      </w:r>
    </w:p>
    <w:p w:rsidR="00E800EA" w:rsidRPr="00056602" w:rsidRDefault="00CC219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г)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E800EA" w:rsidRPr="00056602" w:rsidRDefault="000B38F0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д)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осуществляет подготовку и направление в контрольный орган в сфере закупок предусмотренного </w:t>
      </w:r>
      <w:hyperlink r:id="rId22">
        <w:r w:rsidR="00E800EA" w:rsidRPr="00056602">
          <w:rPr>
            <w:rFonts w:ascii="Times New Roman" w:hAnsi="Times New Roman" w:cs="Times New Roman"/>
            <w:sz w:val="28"/>
            <w:szCs w:val="28"/>
          </w:rPr>
          <w:t>частью 6 статьи 93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 обращения Заказчика о согласовании заключения контракта с единственным поставщиком (подрядчиком, </w:t>
      </w:r>
      <w:r w:rsidR="00E800EA" w:rsidRPr="00056602">
        <w:rPr>
          <w:rFonts w:ascii="Times New Roman" w:hAnsi="Times New Roman" w:cs="Times New Roman"/>
          <w:sz w:val="28"/>
          <w:szCs w:val="28"/>
        </w:rPr>
        <w:lastRenderedPageBreak/>
        <w:t>исполнителем);</w:t>
      </w:r>
    </w:p>
    <w:p w:rsidR="00E800EA" w:rsidRPr="00056602" w:rsidRDefault="000B38F0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е)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23">
        <w:r w:rsidR="00E800EA" w:rsidRPr="00056602">
          <w:rPr>
            <w:rFonts w:ascii="Times New Roman" w:hAnsi="Times New Roman" w:cs="Times New Roman"/>
            <w:sz w:val="28"/>
            <w:szCs w:val="28"/>
          </w:rPr>
          <w:t>частью 2 статьи 93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800EA" w:rsidRPr="00056602" w:rsidRDefault="000B38F0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ж)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обеспечивает хранение информации и документов в соответствии с </w:t>
      </w:r>
      <w:hyperlink r:id="rId24">
        <w:r w:rsidR="00E800EA" w:rsidRPr="00056602">
          <w:rPr>
            <w:rFonts w:ascii="Times New Roman" w:hAnsi="Times New Roman" w:cs="Times New Roman"/>
            <w:sz w:val="28"/>
            <w:szCs w:val="28"/>
          </w:rPr>
          <w:t>частью 15 статьи 4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800EA" w:rsidRPr="00056602" w:rsidRDefault="000B38F0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з)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E800EA" w:rsidRPr="00056602" w:rsidRDefault="000B38F0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и) </w:t>
      </w:r>
      <w:r w:rsidR="00E800EA" w:rsidRPr="00056602">
        <w:rPr>
          <w:rFonts w:ascii="Times New Roman" w:hAnsi="Times New Roman" w:cs="Times New Roman"/>
          <w:sz w:val="28"/>
          <w:szCs w:val="28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E800EA" w:rsidRPr="00056602" w:rsidRDefault="00FF0F3E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4)</w:t>
      </w:r>
      <w:r w:rsidR="000B38F0" w:rsidRPr="00056602">
        <w:rPr>
          <w:rFonts w:ascii="Times New Roman" w:hAnsi="Times New Roman" w:cs="Times New Roman"/>
          <w:sz w:val="28"/>
          <w:szCs w:val="28"/>
        </w:rPr>
        <w:t> </w:t>
      </w:r>
      <w:r w:rsidR="005911B3" w:rsidRPr="00056602">
        <w:rPr>
          <w:rFonts w:ascii="Times New Roman" w:hAnsi="Times New Roman" w:cs="Times New Roman"/>
          <w:sz w:val="28"/>
          <w:szCs w:val="28"/>
        </w:rPr>
        <w:t>п</w:t>
      </w:r>
      <w:r w:rsidR="00E800EA" w:rsidRPr="00056602">
        <w:rPr>
          <w:rFonts w:ascii="Times New Roman" w:hAnsi="Times New Roman" w:cs="Times New Roman"/>
          <w:sz w:val="28"/>
          <w:szCs w:val="28"/>
        </w:rPr>
        <w:t>ри исполнении, изменении, расторжении контракта:</w:t>
      </w:r>
    </w:p>
    <w:p w:rsidR="00E800EA" w:rsidRPr="00056602" w:rsidRDefault="00FF0F3E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а</w:t>
      </w:r>
      <w:r w:rsidR="000B38F0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5911B3" w:rsidRPr="00056602">
        <w:rPr>
          <w:rFonts w:ascii="Times New Roman" w:hAnsi="Times New Roman" w:cs="Times New Roman"/>
          <w:sz w:val="28"/>
          <w:szCs w:val="28"/>
        </w:rPr>
        <w:t>независимой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 гарантии, представленной в качестве обеспечения гарантийного обязательства;</w:t>
      </w:r>
    </w:p>
    <w:p w:rsidR="00E800EA" w:rsidRPr="00056602" w:rsidRDefault="00FF0F3E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б</w:t>
      </w:r>
      <w:r w:rsidR="000B38F0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обеспечивает исполнение условий контракта в части выплаты аванса (если контрактом предусмотрена выплата аванса);</w:t>
      </w:r>
    </w:p>
    <w:p w:rsidR="00E800EA" w:rsidRPr="00056602" w:rsidRDefault="00FF0F3E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в</w:t>
      </w:r>
      <w:r w:rsidR="000B38F0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-</w:t>
      </w:r>
      <w:r w:rsidR="000B38F0" w:rsidRPr="00056602">
        <w:rPr>
          <w:rFonts w:ascii="Times New Roman" w:hAnsi="Times New Roman" w:cs="Times New Roman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sz w:val="28"/>
          <w:szCs w:val="28"/>
        </w:rPr>
        <w:t>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-</w:t>
      </w:r>
      <w:r w:rsidR="000B38F0" w:rsidRPr="00056602">
        <w:rPr>
          <w:rFonts w:ascii="Times New Roman" w:hAnsi="Times New Roman" w:cs="Times New Roman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sz w:val="28"/>
          <w:szCs w:val="28"/>
        </w:rPr>
        <w:t>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-</w:t>
      </w:r>
      <w:r w:rsidR="000B38F0" w:rsidRPr="00056602">
        <w:rPr>
          <w:rFonts w:ascii="Times New Roman" w:hAnsi="Times New Roman" w:cs="Times New Roman"/>
          <w:sz w:val="28"/>
          <w:szCs w:val="28"/>
        </w:rPr>
        <w:t>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г</w:t>
      </w:r>
      <w:r w:rsidR="000B38F0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д</w:t>
      </w:r>
      <w:r w:rsidR="00FF0F3E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>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е</w:t>
      </w:r>
      <w:r w:rsidR="00FF0F3E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взаимодействует с поставщиком (подрядчиком, исполнителем) при изменении, расторжении контракта в соответствии со </w:t>
      </w:r>
      <w:hyperlink r:id="rId25">
        <w:r w:rsidR="00E800EA" w:rsidRPr="00056602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</w:t>
      </w:r>
      <w:r w:rsidR="00E800EA" w:rsidRPr="00056602">
        <w:rPr>
          <w:rFonts w:ascii="Times New Roman" w:hAnsi="Times New Roman" w:cs="Times New Roman"/>
          <w:sz w:val="28"/>
          <w:szCs w:val="28"/>
        </w:rPr>
        <w:lastRenderedPageBreak/>
        <w:t>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ж</w:t>
      </w:r>
      <w:r w:rsidR="00FF0F3E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направляет в порядке, предусмотренном </w:t>
      </w:r>
      <w:hyperlink r:id="rId26">
        <w:r w:rsidR="00E800EA" w:rsidRPr="00056602">
          <w:rPr>
            <w:rFonts w:ascii="Times New Roman" w:hAnsi="Times New Roman" w:cs="Times New Roman"/>
            <w:sz w:val="28"/>
            <w:szCs w:val="28"/>
          </w:rPr>
          <w:t>статьей 104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з</w:t>
      </w:r>
      <w:r w:rsidR="00FF0F3E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27">
        <w:r w:rsidR="00E800EA" w:rsidRPr="00056602">
          <w:rPr>
            <w:rFonts w:ascii="Times New Roman" w:hAnsi="Times New Roman" w:cs="Times New Roman"/>
            <w:sz w:val="28"/>
            <w:szCs w:val="28"/>
          </w:rPr>
          <w:t>частью 27 статьи 34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и</w:t>
      </w:r>
      <w:r w:rsidR="00FF0F3E" w:rsidRPr="00056602">
        <w:rPr>
          <w:rFonts w:ascii="Times New Roman" w:hAnsi="Times New Roman" w:cs="Times New Roman"/>
          <w:sz w:val="28"/>
          <w:szCs w:val="28"/>
        </w:rPr>
        <w:t>) 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обеспечивает одностороннее расторжение контракта в порядке, предусмотренном </w:t>
      </w:r>
      <w:hyperlink r:id="rId28">
        <w:r w:rsidR="00E800EA" w:rsidRPr="00056602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800EA" w:rsidRPr="00056602" w:rsidRDefault="00E800EA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5</w:t>
      </w:r>
      <w:r w:rsidR="00A52B19" w:rsidRPr="00056602">
        <w:rPr>
          <w:rFonts w:ascii="Times New Roman" w:hAnsi="Times New Roman" w:cs="Times New Roman"/>
          <w:sz w:val="28"/>
          <w:szCs w:val="28"/>
        </w:rPr>
        <w:t>) </w:t>
      </w:r>
      <w:r w:rsidR="005911B3" w:rsidRPr="00056602">
        <w:rPr>
          <w:rFonts w:ascii="Times New Roman" w:hAnsi="Times New Roman" w:cs="Times New Roman"/>
          <w:sz w:val="28"/>
          <w:szCs w:val="28"/>
        </w:rPr>
        <w:t>о</w:t>
      </w:r>
      <w:r w:rsidRPr="00056602">
        <w:rPr>
          <w:rFonts w:ascii="Times New Roman" w:hAnsi="Times New Roman" w:cs="Times New Roman"/>
          <w:sz w:val="28"/>
          <w:szCs w:val="28"/>
        </w:rPr>
        <w:t xml:space="preserve">существляет иные функции и полномочия, предусмотренные Федеральным </w:t>
      </w:r>
      <w:hyperlink r:id="rId29">
        <w:r w:rsidRPr="000566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660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а) </w:t>
      </w:r>
      <w:r w:rsidR="00E800EA" w:rsidRPr="00056602">
        <w:rPr>
          <w:rFonts w:ascii="Times New Roman" w:hAnsi="Times New Roman" w:cs="Times New Roman"/>
          <w:sz w:val="28"/>
          <w:szCs w:val="28"/>
        </w:rPr>
        <w:t>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б) </w:t>
      </w:r>
      <w:r w:rsidR="00E800EA" w:rsidRPr="00056602">
        <w:rPr>
          <w:rFonts w:ascii="Times New Roman" w:hAnsi="Times New Roman" w:cs="Times New Roman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664C57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в)</w:t>
      </w:r>
      <w:r w:rsidR="00664C57" w:rsidRPr="00056602">
        <w:rPr>
          <w:rFonts w:ascii="Times New Roman" w:hAnsi="Times New Roman" w:cs="Times New Roman"/>
          <w:sz w:val="28"/>
          <w:szCs w:val="28"/>
        </w:rPr>
        <w:t> принимает участие в рассмотрении дел об обжаловании действий (бездействия) Заказчика,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банк</w:t>
      </w:r>
      <w:r w:rsidR="005911B3" w:rsidRPr="00056602">
        <w:rPr>
          <w:rFonts w:ascii="Times New Roman" w:hAnsi="Times New Roman" w:cs="Times New Roman"/>
          <w:sz w:val="28"/>
          <w:szCs w:val="28"/>
        </w:rPr>
        <w:t>ов, государственной корпорации «</w:t>
      </w:r>
      <w:r w:rsidR="00664C57" w:rsidRPr="00056602">
        <w:rPr>
          <w:rFonts w:ascii="Times New Roman" w:hAnsi="Times New Roman" w:cs="Times New Roman"/>
          <w:sz w:val="28"/>
          <w:szCs w:val="28"/>
        </w:rPr>
        <w:t>ВЭБ.РФ</w:t>
      </w:r>
      <w:r w:rsidR="005911B3" w:rsidRPr="00056602">
        <w:rPr>
          <w:rFonts w:ascii="Times New Roman" w:hAnsi="Times New Roman" w:cs="Times New Roman"/>
          <w:sz w:val="28"/>
          <w:szCs w:val="28"/>
        </w:rPr>
        <w:t>»</w:t>
      </w:r>
      <w:r w:rsidR="00664C57" w:rsidRPr="00056602">
        <w:rPr>
          <w:rFonts w:ascii="Times New Roman" w:hAnsi="Times New Roman" w:cs="Times New Roman"/>
          <w:sz w:val="28"/>
          <w:szCs w:val="28"/>
        </w:rPr>
        <w:t xml:space="preserve">, </w:t>
      </w:r>
      <w:r w:rsidR="00056602" w:rsidRPr="00056602">
        <w:rPr>
          <w:rFonts w:ascii="Times New Roman" w:hAnsi="Times New Roman" w:cs="Times New Roman"/>
          <w:sz w:val="28"/>
          <w:szCs w:val="28"/>
        </w:rPr>
        <w:t xml:space="preserve">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(при осуществлении такими банками, корпорацией, такими фондами действий, предусмотренных Федеральным законом) </w:t>
      </w:r>
      <w:r w:rsidR="00664C57" w:rsidRPr="00056602">
        <w:rPr>
          <w:rFonts w:ascii="Times New Roman" w:hAnsi="Times New Roman" w:cs="Times New Roman"/>
          <w:sz w:val="28"/>
          <w:szCs w:val="28"/>
        </w:rPr>
        <w:t xml:space="preserve">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="00664C57" w:rsidRPr="00056602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664C57" w:rsidRPr="00056602"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E800EA" w:rsidRPr="00056602" w:rsidRDefault="00A52B19" w:rsidP="0005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602">
        <w:rPr>
          <w:rFonts w:ascii="Times New Roman" w:hAnsi="Times New Roman" w:cs="Times New Roman"/>
          <w:sz w:val="28"/>
          <w:szCs w:val="28"/>
        </w:rPr>
        <w:t>г) п</w:t>
      </w:r>
      <w:r w:rsidR="00E800EA" w:rsidRPr="00056602">
        <w:rPr>
          <w:rFonts w:ascii="Times New Roman" w:hAnsi="Times New Roman" w:cs="Times New Roman"/>
          <w:sz w:val="28"/>
          <w:szCs w:val="28"/>
        </w:rPr>
        <w:t xml:space="preserve">ри централизации закупок в соответствии со </w:t>
      </w:r>
      <w:hyperlink r:id="rId30">
        <w:r w:rsidR="00E800EA" w:rsidRPr="00056602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Федерального закона осуществляет предусмотренные Федеральным </w:t>
      </w:r>
      <w:hyperlink r:id="rId31">
        <w:r w:rsidR="00E800EA" w:rsidRPr="000566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800EA" w:rsidRPr="00056602">
        <w:rPr>
          <w:rFonts w:ascii="Times New Roman" w:hAnsi="Times New Roman" w:cs="Times New Roman"/>
          <w:sz w:val="28"/>
          <w:szCs w:val="28"/>
        </w:rPr>
        <w:t xml:space="preserve"> и Положением полномочия, </w:t>
      </w:r>
      <w:r w:rsidR="00E800EA" w:rsidRPr="00056602">
        <w:rPr>
          <w:rFonts w:ascii="Times New Roman" w:hAnsi="Times New Roman" w:cs="Times New Roman"/>
          <w:sz w:val="28"/>
          <w:szCs w:val="28"/>
        </w:rPr>
        <w:lastRenderedPageBreak/>
        <w:t>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  <w:r w:rsidR="00664C57" w:rsidRPr="00056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B19" w:rsidRPr="00056602" w:rsidRDefault="00A52B19" w:rsidP="000566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p w:rsidR="00A52B19" w:rsidRPr="00056602" w:rsidRDefault="00A52B19" w:rsidP="0005660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602">
        <w:rPr>
          <w:rFonts w:ascii="Times New Roman" w:hAnsi="Times New Roman" w:cs="Times New Roman"/>
          <w:bCs/>
          <w:sz w:val="28"/>
          <w:szCs w:val="28"/>
        </w:rPr>
        <w:t xml:space="preserve">4. Ответственность работников </w:t>
      </w:r>
      <w:r w:rsidR="00056602" w:rsidRPr="00056602">
        <w:rPr>
          <w:rFonts w:ascii="Times New Roman" w:hAnsi="Times New Roman" w:cs="Times New Roman"/>
          <w:bCs/>
          <w:sz w:val="28"/>
          <w:szCs w:val="28"/>
        </w:rPr>
        <w:t>к</w:t>
      </w:r>
      <w:r w:rsidRPr="00056602">
        <w:rPr>
          <w:rFonts w:ascii="Times New Roman" w:hAnsi="Times New Roman" w:cs="Times New Roman"/>
          <w:bCs/>
          <w:sz w:val="28"/>
          <w:szCs w:val="28"/>
        </w:rPr>
        <w:t>онтрактной службы</w:t>
      </w:r>
    </w:p>
    <w:p w:rsidR="00A52B19" w:rsidRPr="00056602" w:rsidRDefault="00A52B19" w:rsidP="000566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B19" w:rsidRPr="00056602" w:rsidRDefault="00A16B5C" w:rsidP="000566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602">
        <w:rPr>
          <w:rFonts w:ascii="Times New Roman" w:hAnsi="Times New Roman" w:cs="Times New Roman"/>
          <w:bCs/>
          <w:sz w:val="28"/>
          <w:szCs w:val="28"/>
        </w:rPr>
        <w:t>11</w:t>
      </w:r>
      <w:r w:rsidR="00A52B19" w:rsidRPr="00056602">
        <w:rPr>
          <w:rFonts w:ascii="Times New Roman" w:hAnsi="Times New Roman" w:cs="Times New Roman"/>
          <w:bCs/>
          <w:sz w:val="28"/>
          <w:szCs w:val="28"/>
        </w:rPr>
        <w:t>.</w:t>
      </w:r>
      <w:r w:rsidR="00056602" w:rsidRPr="00056602">
        <w:rPr>
          <w:rFonts w:ascii="Times New Roman" w:hAnsi="Times New Roman" w:cs="Times New Roman"/>
          <w:bCs/>
          <w:sz w:val="28"/>
          <w:szCs w:val="28"/>
        </w:rPr>
        <w:t> </w:t>
      </w:r>
      <w:r w:rsidR="00A52B19" w:rsidRPr="00056602">
        <w:rPr>
          <w:rFonts w:ascii="Times New Roman" w:hAnsi="Times New Roman" w:cs="Times New Roman"/>
          <w:bCs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</w:t>
      </w:r>
      <w:r w:rsidRPr="00056602">
        <w:rPr>
          <w:rFonts w:ascii="Times New Roman" w:hAnsi="Times New Roman" w:cs="Times New Roman"/>
          <w:bCs/>
          <w:sz w:val="28"/>
          <w:szCs w:val="28"/>
        </w:rPr>
        <w:t>к</w:t>
      </w:r>
      <w:r w:rsidR="00A52B19" w:rsidRPr="00056602">
        <w:rPr>
          <w:rFonts w:ascii="Times New Roman" w:hAnsi="Times New Roman" w:cs="Times New Roman"/>
          <w:bCs/>
          <w:sz w:val="28"/>
          <w:szCs w:val="28"/>
        </w:rPr>
        <w:t>онтрактной службы, если такие действия (бездействие) нарушают права и законные интересы участника закупки.</w:t>
      </w:r>
    </w:p>
    <w:p w:rsidR="00520B11" w:rsidRPr="00056602" w:rsidRDefault="00A16B5C" w:rsidP="000566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602">
        <w:rPr>
          <w:rFonts w:ascii="Times New Roman" w:hAnsi="Times New Roman" w:cs="Times New Roman"/>
          <w:bCs/>
          <w:sz w:val="28"/>
          <w:szCs w:val="28"/>
        </w:rPr>
        <w:t>12</w:t>
      </w:r>
      <w:r w:rsidR="00A52B19" w:rsidRPr="00056602">
        <w:rPr>
          <w:rFonts w:ascii="Times New Roman" w:hAnsi="Times New Roman" w:cs="Times New Roman"/>
          <w:bCs/>
          <w:sz w:val="28"/>
          <w:szCs w:val="28"/>
        </w:rPr>
        <w:t>.</w:t>
      </w:r>
      <w:r w:rsidR="00056602" w:rsidRPr="00056602">
        <w:rPr>
          <w:rFonts w:ascii="Times New Roman" w:hAnsi="Times New Roman" w:cs="Times New Roman"/>
          <w:bCs/>
          <w:sz w:val="28"/>
          <w:szCs w:val="28"/>
        </w:rPr>
        <w:t> </w:t>
      </w:r>
      <w:r w:rsidR="00A52B19" w:rsidRPr="00056602">
        <w:rPr>
          <w:rFonts w:ascii="Times New Roman" w:hAnsi="Times New Roman" w:cs="Times New Roman"/>
          <w:bCs/>
          <w:sz w:val="28"/>
          <w:szCs w:val="28"/>
        </w:rPr>
        <w:t xml:space="preserve">Работники </w:t>
      </w:r>
      <w:r w:rsidR="00056602" w:rsidRPr="00056602">
        <w:rPr>
          <w:rFonts w:ascii="Times New Roman" w:hAnsi="Times New Roman" w:cs="Times New Roman"/>
          <w:bCs/>
          <w:sz w:val="28"/>
          <w:szCs w:val="28"/>
        </w:rPr>
        <w:t>к</w:t>
      </w:r>
      <w:r w:rsidR="00A52B19" w:rsidRPr="00056602">
        <w:rPr>
          <w:rFonts w:ascii="Times New Roman" w:hAnsi="Times New Roman" w:cs="Times New Roman"/>
          <w:bCs/>
          <w:sz w:val="28"/>
          <w:szCs w:val="28"/>
        </w:rPr>
        <w:t>онтрактной службы при исполнении своих обязанностей несут ответственность в соответствии с действующим законодательством.</w:t>
      </w:r>
    </w:p>
    <w:sectPr w:rsidR="00520B11" w:rsidRPr="00056602" w:rsidSect="00ED666D">
      <w:head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E0" w:rsidRDefault="006252E0" w:rsidP="0031799B">
      <w:pPr>
        <w:spacing w:after="0" w:line="240" w:lineRule="auto"/>
      </w:pPr>
      <w:r>
        <w:separator/>
      </w:r>
    </w:p>
  </w:endnote>
  <w:endnote w:type="continuationSeparator" w:id="0">
    <w:p w:rsidR="006252E0" w:rsidRDefault="006252E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E0" w:rsidRDefault="006252E0" w:rsidP="0031799B">
      <w:pPr>
        <w:spacing w:after="0" w:line="240" w:lineRule="auto"/>
      </w:pPr>
      <w:r>
        <w:separator/>
      </w:r>
    </w:p>
  </w:footnote>
  <w:footnote w:type="continuationSeparator" w:id="0">
    <w:p w:rsidR="006252E0" w:rsidRDefault="006252E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424204"/>
      <w:docPartObj>
        <w:docPartGallery w:val="Page Numbers (Top of Page)"/>
        <w:docPartUnique/>
      </w:docPartObj>
    </w:sdtPr>
    <w:sdtContent>
      <w:p w:rsidR="00ED666D" w:rsidRDefault="00ED66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8A">
          <w:rPr>
            <w:noProof/>
          </w:rPr>
          <w:t>6</w:t>
        </w:r>
        <w:r>
          <w:fldChar w:fldCharType="end"/>
        </w:r>
      </w:p>
    </w:sdtContent>
  </w:sdt>
  <w:p w:rsidR="00ED666D" w:rsidRDefault="00ED66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DDA"/>
    <w:multiLevelType w:val="hybridMultilevel"/>
    <w:tmpl w:val="8EB8BB84"/>
    <w:lvl w:ilvl="0" w:tplc="EEB67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56602"/>
    <w:rsid w:val="00066C50"/>
    <w:rsid w:val="00076132"/>
    <w:rsid w:val="00077162"/>
    <w:rsid w:val="00082619"/>
    <w:rsid w:val="00086F28"/>
    <w:rsid w:val="00087A03"/>
    <w:rsid w:val="00094A51"/>
    <w:rsid w:val="00095795"/>
    <w:rsid w:val="00097504"/>
    <w:rsid w:val="000B1239"/>
    <w:rsid w:val="000B38F0"/>
    <w:rsid w:val="000C2DB2"/>
    <w:rsid w:val="000C7139"/>
    <w:rsid w:val="000E418F"/>
    <w:rsid w:val="000E53EF"/>
    <w:rsid w:val="00112C1A"/>
    <w:rsid w:val="00140E22"/>
    <w:rsid w:val="0017275E"/>
    <w:rsid w:val="00180140"/>
    <w:rsid w:val="00181702"/>
    <w:rsid w:val="00181A55"/>
    <w:rsid w:val="00186F61"/>
    <w:rsid w:val="0018739B"/>
    <w:rsid w:val="00195EC9"/>
    <w:rsid w:val="001B2439"/>
    <w:rsid w:val="001C15D6"/>
    <w:rsid w:val="001D00F5"/>
    <w:rsid w:val="001D4724"/>
    <w:rsid w:val="00213104"/>
    <w:rsid w:val="00233FCB"/>
    <w:rsid w:val="0024385A"/>
    <w:rsid w:val="00243A93"/>
    <w:rsid w:val="00257670"/>
    <w:rsid w:val="00293DF2"/>
    <w:rsid w:val="00295AC8"/>
    <w:rsid w:val="002A59A8"/>
    <w:rsid w:val="002B2A13"/>
    <w:rsid w:val="002C0D36"/>
    <w:rsid w:val="002C26A3"/>
    <w:rsid w:val="002C2B5A"/>
    <w:rsid w:val="002C5B0F"/>
    <w:rsid w:val="002D5D0F"/>
    <w:rsid w:val="002E4E87"/>
    <w:rsid w:val="002F3844"/>
    <w:rsid w:val="002F39A9"/>
    <w:rsid w:val="0030022E"/>
    <w:rsid w:val="00313CF4"/>
    <w:rsid w:val="0031799B"/>
    <w:rsid w:val="00327B6F"/>
    <w:rsid w:val="0034143C"/>
    <w:rsid w:val="003468A3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2409"/>
    <w:rsid w:val="00463D54"/>
    <w:rsid w:val="00466B97"/>
    <w:rsid w:val="00484749"/>
    <w:rsid w:val="004A783B"/>
    <w:rsid w:val="004B221A"/>
    <w:rsid w:val="004E00B2"/>
    <w:rsid w:val="004E1446"/>
    <w:rsid w:val="004E554E"/>
    <w:rsid w:val="004E6A87"/>
    <w:rsid w:val="00503FC3"/>
    <w:rsid w:val="00507E0C"/>
    <w:rsid w:val="00511236"/>
    <w:rsid w:val="0051621C"/>
    <w:rsid w:val="00520B11"/>
    <w:rsid w:val="005271B3"/>
    <w:rsid w:val="00556BB0"/>
    <w:rsid w:val="005578C9"/>
    <w:rsid w:val="00563B33"/>
    <w:rsid w:val="00567D99"/>
    <w:rsid w:val="00576D34"/>
    <w:rsid w:val="005846D7"/>
    <w:rsid w:val="005911B3"/>
    <w:rsid w:val="005A46F6"/>
    <w:rsid w:val="005D2494"/>
    <w:rsid w:val="005F11A7"/>
    <w:rsid w:val="005F1F7D"/>
    <w:rsid w:val="006000C9"/>
    <w:rsid w:val="00621F3C"/>
    <w:rsid w:val="006252E0"/>
    <w:rsid w:val="006271E6"/>
    <w:rsid w:val="00631037"/>
    <w:rsid w:val="00650CAB"/>
    <w:rsid w:val="00663D27"/>
    <w:rsid w:val="00664C57"/>
    <w:rsid w:val="00681BFE"/>
    <w:rsid w:val="0069601C"/>
    <w:rsid w:val="00697066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97157"/>
    <w:rsid w:val="007B3851"/>
    <w:rsid w:val="007B5B9E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C588A"/>
    <w:rsid w:val="008D6646"/>
    <w:rsid w:val="008D7127"/>
    <w:rsid w:val="008E5448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D79DC"/>
    <w:rsid w:val="009F320C"/>
    <w:rsid w:val="00A16B5C"/>
    <w:rsid w:val="00A31F7D"/>
    <w:rsid w:val="00A43195"/>
    <w:rsid w:val="00A52B19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E28DB"/>
    <w:rsid w:val="00BF3269"/>
    <w:rsid w:val="00C17533"/>
    <w:rsid w:val="00C366DA"/>
    <w:rsid w:val="00C37B1E"/>
    <w:rsid w:val="00C442AB"/>
    <w:rsid w:val="00C4720A"/>
    <w:rsid w:val="00C502D0"/>
    <w:rsid w:val="00C5596B"/>
    <w:rsid w:val="00C62CA2"/>
    <w:rsid w:val="00C73DCC"/>
    <w:rsid w:val="00C90D3D"/>
    <w:rsid w:val="00CA228F"/>
    <w:rsid w:val="00CC2199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B5080"/>
    <w:rsid w:val="00DD3A94"/>
    <w:rsid w:val="00DF3901"/>
    <w:rsid w:val="00DF3A35"/>
    <w:rsid w:val="00E120F0"/>
    <w:rsid w:val="00E159EE"/>
    <w:rsid w:val="00E21060"/>
    <w:rsid w:val="00E40D0A"/>
    <w:rsid w:val="00E43CC4"/>
    <w:rsid w:val="00E61A8D"/>
    <w:rsid w:val="00E72DA7"/>
    <w:rsid w:val="00E800EA"/>
    <w:rsid w:val="00E8524F"/>
    <w:rsid w:val="00EC2DBB"/>
    <w:rsid w:val="00EC6E5C"/>
    <w:rsid w:val="00ED666D"/>
    <w:rsid w:val="00EF524F"/>
    <w:rsid w:val="00F148B5"/>
    <w:rsid w:val="00F41E36"/>
    <w:rsid w:val="00F46EC1"/>
    <w:rsid w:val="00F52709"/>
    <w:rsid w:val="00F54DB1"/>
    <w:rsid w:val="00F54E2E"/>
    <w:rsid w:val="00F63133"/>
    <w:rsid w:val="00F72C97"/>
    <w:rsid w:val="00F76EF9"/>
    <w:rsid w:val="00F81A81"/>
    <w:rsid w:val="00FB47AC"/>
    <w:rsid w:val="00FC4414"/>
    <w:rsid w:val="00FC5EC8"/>
    <w:rsid w:val="00FC77DD"/>
    <w:rsid w:val="00FD7DA3"/>
    <w:rsid w:val="00FE0846"/>
    <w:rsid w:val="00FE1F73"/>
    <w:rsid w:val="00FF0F3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2409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624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462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00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195E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49C81FBA0818F7612E9C6A226B16094299C5A39547AEED3EBBB300369AE7BF4BD30A95DBD9D8B08445BC1EE8C6FCA310ED7D80A0723C49X2GAF" TargetMode="External"/><Relationship Id="rId18" Type="http://schemas.openxmlformats.org/officeDocument/2006/relationships/hyperlink" Target="consultantplus://offline/ref=F549C81FBA0818F7612E9C6A226B16094299C5A39547AEED3EBBB300369AE7BF4BD30A95DBD9D8B98645BC1EE8C6FCA310ED7D80A0723C49X2GAF" TargetMode="External"/><Relationship Id="rId26" Type="http://schemas.openxmlformats.org/officeDocument/2006/relationships/hyperlink" Target="consultantplus://offline/ref=F549C81FBA0818F7612E9C6A226B16094299C5A39547AEED3EBBB300369AE7BF4BD30A95DBD8DDB18745BC1EE8C6FCA310ED7D80A0723C49X2G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49C81FBA0818F7612E9C6A226B16094299C5A39547AEED3EBBB300369AE7BF4BD30A95DBD9DDB08345BC1EE8C6FCA310ED7D80A0723C49X2GA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49C81FBA0818F7612E9C6A226B16094299C5A39547AEED3EBBB300369AE7BF4BD30A95DBDBDBB3D41FAC1AA190F1BE10FA638BBE72X3GEF" TargetMode="External"/><Relationship Id="rId17" Type="http://schemas.openxmlformats.org/officeDocument/2006/relationships/hyperlink" Target="consultantplus://offline/ref=F549C81FBA0818F7612E9C6A226B16094299C5A39547AEED3EBBB300369AE7BF4BD30A95DBD9DDB18845BC1EE8C6FCA310ED7D80A0723C49X2GAF" TargetMode="External"/><Relationship Id="rId25" Type="http://schemas.openxmlformats.org/officeDocument/2006/relationships/hyperlink" Target="consultantplus://offline/ref=F549C81FBA0818F7612E9C6A226B16094299C5A39547AEED3EBBB300369AE7BF4BD30A95DBD8DAB88945BC1EE8C6FCA310ED7D80A0723C49X2GA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49C81FBA0818F7612E9C6A226B16094299C5A39547AEED3EBBB300369AE7BF4BD30A96DADDDDB3D41FAC1AA190F1BE10FA638BBE72X3GEF" TargetMode="External"/><Relationship Id="rId20" Type="http://schemas.openxmlformats.org/officeDocument/2006/relationships/hyperlink" Target="consultantplus://offline/ref=F549C81FBA0818F7612E9C6A226B16094299C5A39547AEED3EBBB300369AE7BF4BD30A95DBD9DABA8245BC1EE8C6FCA310ED7D80A0723C49X2GAF" TargetMode="External"/><Relationship Id="rId29" Type="http://schemas.openxmlformats.org/officeDocument/2006/relationships/hyperlink" Target="consultantplus://offline/ref=F549C81FBA0818F7612E9C6A226B16094299C5A39547AEED3EBBB300369AE7BF59D35299D8D9C7B88950EA4FAEX9G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49C81FBA0818F7612E9C6A226B16094299C5A39547AEED3EBBB300369AE7BF59D35299D8D9C7B88950EA4FAEX9G1F" TargetMode="External"/><Relationship Id="rId24" Type="http://schemas.openxmlformats.org/officeDocument/2006/relationships/hyperlink" Target="consultantplus://offline/ref=F549C81FBA0818F7612E9C6A226B16094299C5A39547AEED3EBBB300369AE7BF4BD30A96DBD1DDB3D41FAC1AA190F1BE10FA638BBE72X3GE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49C81FBA0818F7612E9C6A226B16094299C5A39547AEED3EBBB300369AE7BF4BD30A96DADADDB3D41FAC1AA190F1BE10FA638BBE72X3GEF" TargetMode="External"/><Relationship Id="rId23" Type="http://schemas.openxmlformats.org/officeDocument/2006/relationships/hyperlink" Target="consultantplus://offline/ref=F549C81FBA0818F7612E9C6A226B16094299C5A39547AEED3EBBB300369AE7BF4BD30A95D8DDD1B3D41FAC1AA190F1BE10FA638BBE72X3GEF" TargetMode="External"/><Relationship Id="rId28" Type="http://schemas.openxmlformats.org/officeDocument/2006/relationships/hyperlink" Target="consultantplus://offline/ref=F549C81FBA0818F7612E9C6A226B16094299C5A39547AEED3EBBB300369AE7BF4BD30A95DBD8DAB88945BC1EE8C6FCA310ED7D80A0723C49X2GAF" TargetMode="External"/><Relationship Id="rId10" Type="http://schemas.openxmlformats.org/officeDocument/2006/relationships/hyperlink" Target="consultantplus://offline/ref=F549C81FBA0818F7612E9C6A226B16094493C3AE9914F9EF6FEEBD053ECABDAF5D9A0494C5D9D0A6824EEAX4GDF" TargetMode="External"/><Relationship Id="rId19" Type="http://schemas.openxmlformats.org/officeDocument/2006/relationships/hyperlink" Target="consultantplus://offline/ref=F549C81FBA0818F7612E9C6A226B16094299C5A39547AEED3EBBB300369AE7BF4BD30A95DBD9DAB98945BC1EE8C6FCA310ED7D80A0723C49X2GAF" TargetMode="External"/><Relationship Id="rId31" Type="http://schemas.openxmlformats.org/officeDocument/2006/relationships/hyperlink" Target="consultantplus://offline/ref=F549C81FBA0818F7612E9C6A226B16094299C5A39547AEED3EBBB300369AE7BF59D35299D8D9C7B88950EA4FAEX9G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49C81FBA0818F7612E9C6A226B16094299C5A39547AEED3EBBB300369AE7BF4BD30A95DBD9DDBD8645BC1EE8C6FCA310ED7D80A0723C49X2GAF" TargetMode="External"/><Relationship Id="rId14" Type="http://schemas.openxmlformats.org/officeDocument/2006/relationships/hyperlink" Target="consultantplus://offline/ref=F549C81FBA0818F7612E9C6A226B16094299C5A39547AEED3EBBB300369AE7BF4BD30A95DBD9D8BF8345BC1EE8C6FCA310ED7D80A0723C49X2GAF" TargetMode="External"/><Relationship Id="rId22" Type="http://schemas.openxmlformats.org/officeDocument/2006/relationships/hyperlink" Target="consultantplus://offline/ref=F549C81FBA0818F7612E9C6A226B16094299C5A39547AEED3EBBB300369AE7BF4BD30A95DDD0D9B3D41FAC1AA190F1BE10FA638BBE72X3GEF" TargetMode="External"/><Relationship Id="rId27" Type="http://schemas.openxmlformats.org/officeDocument/2006/relationships/hyperlink" Target="consultantplus://offline/ref=F549C81FBA0818F7612E9C6A226B16094299C5A39547AEED3EBBB300369AE7BF4BD30A95D9D8D9B3D41FAC1AA190F1BE10FA638BBE72X3GEF" TargetMode="External"/><Relationship Id="rId30" Type="http://schemas.openxmlformats.org/officeDocument/2006/relationships/hyperlink" Target="consultantplus://offline/ref=F549C81FBA0818F7612E9C6A226B16094299C5A39547AEED3EBBB300369AE7BF4BD30A95DBD9DBB18045BC1EE8C6FCA310ED7D80A0723C49X2GAF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657C-8B6F-4583-9315-6480D752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7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15</cp:revision>
  <cp:lastPrinted>2021-10-08T05:51:00Z</cp:lastPrinted>
  <dcterms:created xsi:type="dcterms:W3CDTF">2022-06-08T22:32:00Z</dcterms:created>
  <dcterms:modified xsi:type="dcterms:W3CDTF">2022-10-11T06:02:00Z</dcterms:modified>
</cp:coreProperties>
</file>