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74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before="74" w:after="0"/>
        <w:jc w:val="center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>ПАСПОРТ</w:t>
      </w:r>
    </w:p>
    <w:p>
      <w:pPr>
        <w:pStyle w:val="Normal"/>
        <w:spacing w:before="74" w:after="0"/>
        <w:jc w:val="center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>комплекса процессных мероприятий</w:t>
      </w:r>
    </w:p>
    <w:p>
      <w:pPr>
        <w:pStyle w:val="Normal"/>
        <w:spacing w:before="74"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«Воспроизводство минерально-сырьевой базы общераспространенных полезных ископаемых»</w:t>
      </w:r>
    </w:p>
    <w:p>
      <w:pPr>
        <w:pStyle w:val="Normal"/>
        <w:spacing w:before="74"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before="74"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Общие положения</w:t>
      </w:r>
    </w:p>
    <w:p>
      <w:pPr>
        <w:pStyle w:val="Normal"/>
        <w:spacing w:before="74" w:after="0"/>
        <w:jc w:val="center"/>
        <w:rPr>
          <w:rFonts w:ascii="Times New Roman" w:hAnsi="Times New Roman"/>
          <w:i/>
          <w:i/>
          <w:iCs/>
        </w:rPr>
      </w:pPr>
      <w:r>
        <w:rPr>
          <w:rFonts w:ascii="Times New Roman" w:hAnsi="Times New Roman"/>
          <w:i/>
          <w:iCs/>
        </w:rPr>
        <w:t>(обязательно к заполнению)</w:t>
      </w:r>
    </w:p>
    <w:p>
      <w:pPr>
        <w:pStyle w:val="Normal"/>
        <w:spacing w:before="74"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tbl>
      <w:tblPr>
        <w:tblW w:w="5000" w:type="pct"/>
        <w:jc w:val="lef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noVBand="0" w:val="0000" w:noHBand="0" w:lastColumn="0" w:firstColumn="0" w:lastRow="0" w:firstRow="0"/>
      </w:tblPr>
      <w:tblGrid>
        <w:gridCol w:w="8635"/>
        <w:gridCol w:w="6785"/>
      </w:tblGrid>
      <w:tr>
        <w:trPr/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74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исполнительный орган субъекта Российской федерации</w:t>
            </w:r>
          </w:p>
        </w:tc>
        <w:tc>
          <w:tcPr>
            <w:tcW w:w="6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spacing w:before="74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Министерство природных ресурсов и экологии Камчатского края, Кумарьков Алексей Анатольевич – Министр природных ресурсов и экологии Камчатского края</w:t>
            </w:r>
          </w:p>
        </w:tc>
      </w:tr>
      <w:tr>
        <w:trPr/>
        <w:tc>
          <w:tcPr>
            <w:tcW w:w="86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5"/>
              <w:widowControl w:val="false"/>
              <w:spacing w:before="74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Связь с государственной программой</w:t>
            </w:r>
          </w:p>
        </w:tc>
        <w:tc>
          <w:tcPr>
            <w:tcW w:w="67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spacing w:before="74" w:after="0"/>
              <w:jc w:val="center"/>
              <w:rPr>
                <w:shd w:fill="FFFF00" w:val="clear"/>
              </w:rPr>
            </w:pPr>
            <w:r>
              <w:rPr>
                <w:rFonts w:ascii="Times New Roman" w:hAnsi="Times New Roman"/>
              </w:rPr>
              <w:t>Государственная программа Камчатского края «Охрана окружающей среды, воспроизводство и использование природных ресурсов в Камчатском крае»</w:t>
            </w:r>
          </w:p>
        </w:tc>
      </w:tr>
    </w:tbl>
    <w:p>
      <w:pPr>
        <w:pStyle w:val="Normal"/>
        <w:spacing w:before="74"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before="74" w:after="0"/>
        <w:jc w:val="center"/>
        <w:rPr/>
      </w:pPr>
      <w:r>
        <w:rPr/>
        <w:t>4. Перечень мероприятий (результатов) комплекса процессных мероприятий</w:t>
      </w:r>
    </w:p>
    <w:p>
      <w:pPr>
        <w:pStyle w:val="Normal"/>
        <w:spacing w:before="74" w:after="0"/>
        <w:jc w:val="center"/>
        <w:rPr/>
      </w:pPr>
      <w:r>
        <w:rPr/>
      </w:r>
    </w:p>
    <w:tbl>
      <w:tblPr>
        <w:tblW w:w="15408" w:type="dxa"/>
        <w:jc w:val="lef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noVBand="0" w:val="0000" w:noHBand="0" w:lastColumn="0" w:firstColumn="0" w:lastRow="0" w:firstRow="0"/>
      </w:tblPr>
      <w:tblGrid>
        <w:gridCol w:w="619"/>
        <w:gridCol w:w="4818"/>
        <w:gridCol w:w="1538"/>
        <w:gridCol w:w="1294"/>
        <w:gridCol w:w="1031"/>
        <w:gridCol w:w="787"/>
        <w:gridCol w:w="760"/>
        <w:gridCol w:w="761"/>
        <w:gridCol w:w="761"/>
        <w:gridCol w:w="758"/>
        <w:gridCol w:w="760"/>
        <w:gridCol w:w="761"/>
        <w:gridCol w:w="759"/>
      </w:tblGrid>
      <w:tr>
        <w:trPr/>
        <w:tc>
          <w:tcPr>
            <w:tcW w:w="6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5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w="4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5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w="15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5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 мероприятия</w:t>
            </w:r>
          </w:p>
        </w:tc>
        <w:tc>
          <w:tcPr>
            <w:tcW w:w="12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5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 (по ОКЕИ)</w:t>
            </w:r>
          </w:p>
        </w:tc>
        <w:tc>
          <w:tcPr>
            <w:tcW w:w="1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5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</w:t>
            </w:r>
          </w:p>
        </w:tc>
        <w:tc>
          <w:tcPr>
            <w:tcW w:w="53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мероприятия (результата), параметра характеристики мероприятия (результата) по годам</w:t>
            </w:r>
          </w:p>
        </w:tc>
      </w:tr>
      <w:tr>
        <w:trPr/>
        <w:tc>
          <w:tcPr>
            <w:tcW w:w="6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8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29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03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5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</w:t>
            </w:r>
          </w:p>
        </w:tc>
        <w:tc>
          <w:tcPr>
            <w:tcW w:w="7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5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5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7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5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7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5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5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5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w="7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5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w="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5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</w:tbl>
    <w:p>
      <w:pPr>
        <w:pStyle w:val="Style20"/>
        <w:rPr>
          <w:rFonts w:ascii="Times New Roman" w:hAnsi="Times New Roman"/>
          <w:color w:val="FFFFFF"/>
          <w:sz w:val="4"/>
        </w:rPr>
      </w:pPr>
      <w:r>
        <w:rPr>
          <w:rFonts w:ascii="Times New Roman" w:hAnsi="Times New Roman"/>
          <w:color w:val="FFFFFF"/>
          <w:sz w:val="4"/>
        </w:rPr>
        <w:t>абзац</w:t>
      </w:r>
    </w:p>
    <w:tbl>
      <w:tblPr>
        <w:tblW w:w="15408" w:type="dxa"/>
        <w:jc w:val="lef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noVBand="0" w:val="0000" w:noHBand="0" w:lastColumn="0" w:firstColumn="0" w:lastRow="0" w:firstRow="0"/>
      </w:tblPr>
      <w:tblGrid>
        <w:gridCol w:w="619"/>
        <w:gridCol w:w="4818"/>
        <w:gridCol w:w="1538"/>
        <w:gridCol w:w="1294"/>
        <w:gridCol w:w="1031"/>
        <w:gridCol w:w="787"/>
        <w:gridCol w:w="760"/>
        <w:gridCol w:w="761"/>
        <w:gridCol w:w="761"/>
        <w:gridCol w:w="758"/>
        <w:gridCol w:w="760"/>
        <w:gridCol w:w="761"/>
        <w:gridCol w:w="759"/>
      </w:tblGrid>
      <w:tr>
        <w:trPr>
          <w:tblHeader w:val="true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5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5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5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5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5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5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5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5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5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5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5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5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5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</w:tr>
      <w:tr>
        <w:trPr/>
        <w:tc>
          <w:tcPr>
            <w:tcW w:w="15407" w:type="dxa"/>
            <w:gridSpan w:val="1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5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Расширение сырьевой базы для производства местных строительных материалов</w:t>
            </w:r>
          </w:p>
        </w:tc>
      </w:tr>
      <w:tr>
        <w:trPr/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5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481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Мероприятие (результат) </w:t>
            </w:r>
            <w:r>
              <w:rPr>
                <w:rFonts w:ascii="Times New Roman" w:hAnsi="Times New Roman"/>
                <w:kern w:val="0"/>
              </w:rPr>
              <w:t>«Проведение геологоразведочных работ с целью оценки и разведки месторождения строительного камня на участке недр местного значения «Аникинский»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</w:tcPr>
          <w:p>
            <w:pPr>
              <w:pStyle w:val="Style25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94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</w:tcPr>
          <w:p>
            <w:pPr>
              <w:pStyle w:val="Style25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31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</w:tcPr>
          <w:p>
            <w:pPr>
              <w:pStyle w:val="Style25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87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</w:tcPr>
          <w:p>
            <w:pPr>
              <w:pStyle w:val="Style25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</w:tcPr>
          <w:p>
            <w:pPr>
              <w:pStyle w:val="Style25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61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</w:tcPr>
          <w:p>
            <w:pPr>
              <w:pStyle w:val="Style25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61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</w:tcPr>
          <w:p>
            <w:pPr>
              <w:pStyle w:val="Style25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</w:tcPr>
          <w:p>
            <w:pPr>
              <w:pStyle w:val="Style25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</w:tcPr>
          <w:p>
            <w:pPr>
              <w:pStyle w:val="Style25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61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</w:tcPr>
          <w:p>
            <w:pPr>
              <w:pStyle w:val="Style25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</w:tcPr>
          <w:p>
            <w:pPr>
              <w:pStyle w:val="Style25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5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w="14788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Описательная часть характеристики мероприятия (результата): проведение комплекса геологоразведочных работ на участке недр местного значения «Аникинский» с целью оценки запасов строительного камня по категории С</w:t>
            </w:r>
            <w:r>
              <w:rPr>
                <w:rFonts w:ascii="Times New Roman" w:hAnsi="Times New Roman"/>
                <w:vertAlign w:val="subscript"/>
              </w:rPr>
              <w:t>2</w:t>
            </w:r>
            <w:r>
              <w:rPr>
                <w:rFonts w:ascii="Times New Roman" w:hAnsi="Times New Roman"/>
              </w:rPr>
              <w:t xml:space="preserve"> в объёме не менее 10 млн. м</w:t>
            </w:r>
            <w:r>
              <w:rPr>
                <w:rFonts w:ascii="Times New Roman" w:hAnsi="Times New Roman"/>
                <w:vertAlign w:val="superscript"/>
              </w:rPr>
              <w:t>3</w:t>
            </w:r>
            <w:r>
              <w:rPr>
                <w:rFonts w:ascii="Times New Roman" w:hAnsi="Times New Roman"/>
              </w:rPr>
              <w:t xml:space="preserve"> и проведения разведочных работ на участке(ах) детализации с подсчётом разведанных запасов строительного камня по категории не ниже С</w:t>
            </w:r>
            <w:r>
              <w:rPr>
                <w:rFonts w:ascii="Times New Roman" w:hAnsi="Times New Roman"/>
                <w:vertAlign w:val="subscript"/>
              </w:rPr>
              <w:t xml:space="preserve">1 </w:t>
            </w:r>
            <w:r>
              <w:rPr>
                <w:rFonts w:ascii="Times New Roman" w:hAnsi="Times New Roman"/>
              </w:rPr>
              <w:t>в объёме не менее 3 млн м</w:t>
            </w:r>
            <w:r>
              <w:rPr>
                <w:rFonts w:ascii="Times New Roman" w:hAnsi="Times New Roman"/>
                <w:vertAlign w:val="superscript"/>
              </w:rPr>
              <w:t>3</w:t>
            </w:r>
            <w:r>
              <w:rPr>
                <w:rFonts w:ascii="Times New Roman" w:hAnsi="Times New Roman"/>
              </w:rPr>
              <w:t xml:space="preserve"> на глубину изучения, экономически целесообразную для разработки месторождения с использованием современных технологий освоения.</w:t>
            </w:r>
          </w:p>
        </w:tc>
      </w:tr>
      <w:tr>
        <w:trPr/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5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</w:t>
            </w:r>
          </w:p>
        </w:tc>
        <w:tc>
          <w:tcPr>
            <w:tcW w:w="481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государственного контракта на выполнение работ по геологическому изучению в целях оценки и разведки месторождения строительного камня на участке недр местного значения «Сопка Придорожная»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5"/>
              <w:widowControl w:val="false"/>
              <w:jc w:val="center"/>
              <w:rPr>
                <w:rFonts w:ascii="Times New Roman" w:hAnsi="Times New Roman"/>
              </w:rPr>
            </w:pPr>
            <w:r>
              <w:rPr/>
              <w:t>приобретение товаров, работ, услуг</w:t>
            </w:r>
          </w:p>
        </w:tc>
        <w:tc>
          <w:tcPr>
            <w:tcW w:w="12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5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876</w:t>
            </w:r>
          </w:p>
          <w:p>
            <w:pPr>
              <w:pStyle w:val="Style25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(условная единица)</w:t>
            </w:r>
          </w:p>
          <w:p>
            <w:pPr>
              <w:pStyle w:val="Style25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3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5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8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5"/>
              <w:widowControl w:val="false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5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6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5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5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5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5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6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5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/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5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2.2.</w:t>
            </w:r>
          </w:p>
        </w:tc>
        <w:tc>
          <w:tcPr>
            <w:tcW w:w="14788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Описательная часть характеристики мероприятия (результата): проведение комплекса геологоразведочных работ на участке недр местного значения «Сопка Придорожная» с целью оценки запасов строительного камня по категории С</w:t>
            </w:r>
            <w:r>
              <w:rPr>
                <w:rFonts w:ascii="Times New Roman" w:hAnsi="Times New Roman"/>
                <w:vertAlign w:val="subscript"/>
              </w:rPr>
              <w:t>2</w:t>
            </w:r>
            <w:r>
              <w:rPr>
                <w:rFonts w:ascii="Times New Roman" w:hAnsi="Times New Roman"/>
              </w:rPr>
              <w:t xml:space="preserve"> в объёме не менее 5 млн. м</w:t>
            </w:r>
            <w:r>
              <w:rPr>
                <w:rFonts w:ascii="Times New Roman" w:hAnsi="Times New Roman"/>
                <w:vertAlign w:val="superscript"/>
              </w:rPr>
              <w:t>3</w:t>
            </w:r>
            <w:r>
              <w:rPr>
                <w:rFonts w:ascii="Times New Roman" w:hAnsi="Times New Roman"/>
              </w:rPr>
              <w:t xml:space="preserve"> и проведения разведочных работ на участке(ах) детализации с подсчётом разведанных запасов строительного камня по категории не ниже С</w:t>
            </w:r>
            <w:r>
              <w:rPr>
                <w:rFonts w:ascii="Times New Roman" w:hAnsi="Times New Roman"/>
                <w:vertAlign w:val="subscript"/>
              </w:rPr>
              <w:t>1</w:t>
            </w:r>
            <w:r>
              <w:rPr>
                <w:rFonts w:ascii="Times New Roman" w:hAnsi="Times New Roman"/>
              </w:rPr>
              <w:t xml:space="preserve"> в объёме не менее 3 млн м</w:t>
            </w:r>
            <w:r>
              <w:rPr>
                <w:rFonts w:ascii="Times New Roman" w:hAnsi="Times New Roman"/>
                <w:vertAlign w:val="superscript"/>
              </w:rPr>
              <w:t>3</w:t>
            </w:r>
            <w:r>
              <w:rPr>
                <w:rFonts w:ascii="Times New Roman" w:hAnsi="Times New Roman"/>
              </w:rPr>
              <w:t xml:space="preserve"> на глубину изучения, экономически целесообразную для разработки месторождения с использованием современных технологий освоения</w:t>
            </w:r>
          </w:p>
        </w:tc>
      </w:tr>
    </w:tbl>
    <w:p>
      <w:pPr>
        <w:pStyle w:val="Normal"/>
        <w:spacing w:before="74" w:after="0"/>
        <w:jc w:val="center"/>
        <w:rPr/>
      </w:pPr>
      <w:r>
        <w:rPr/>
      </w:r>
    </w:p>
    <w:p>
      <w:pPr>
        <w:pStyle w:val="Normal"/>
        <w:spacing w:before="74" w:after="0"/>
        <w:jc w:val="center"/>
        <w:rPr/>
      </w:pPr>
      <w:r>
        <w:rPr/>
      </w:r>
      <w:r>
        <w:br w:type="page"/>
      </w:r>
    </w:p>
    <w:p>
      <w:pPr>
        <w:pStyle w:val="Normal"/>
        <w:jc w:val="center"/>
        <w:rPr/>
      </w:pPr>
      <w:r>
        <w:rPr/>
        <w:t>5. Финансовое обеспечение комплекса процессных мероприятий</w:t>
      </w:r>
    </w:p>
    <w:p>
      <w:pPr>
        <w:pStyle w:val="Normal"/>
        <w:jc w:val="center"/>
        <w:rPr/>
      </w:pPr>
      <w:r>
        <w:rPr/>
        <w:t>(заполняется при необходимости)</w:t>
      </w:r>
    </w:p>
    <w:p>
      <w:pPr>
        <w:pStyle w:val="Normal"/>
        <w:jc w:val="center"/>
        <w:rPr/>
      </w:pPr>
      <w:r>
        <w:rPr/>
      </w:r>
    </w:p>
    <w:tbl>
      <w:tblPr>
        <w:tblW w:w="15356" w:type="dxa"/>
        <w:jc w:val="left"/>
        <w:tblInd w:w="25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noVBand="0" w:val="0000" w:noHBand="0" w:lastColumn="0" w:firstColumn="0" w:lastRow="0" w:firstRow="0"/>
      </w:tblPr>
      <w:tblGrid>
        <w:gridCol w:w="8333"/>
        <w:gridCol w:w="837"/>
        <w:gridCol w:w="835"/>
        <w:gridCol w:w="831"/>
        <w:gridCol w:w="843"/>
        <w:gridCol w:w="836"/>
        <w:gridCol w:w="837"/>
        <w:gridCol w:w="833"/>
        <w:gridCol w:w="1169"/>
      </w:tblGrid>
      <w:tr>
        <w:trPr>
          <w:trHeight w:val="539" w:hRule="atLeast"/>
        </w:trPr>
        <w:tc>
          <w:tcPr>
            <w:tcW w:w="83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118" w:after="0"/>
              <w:ind w:right="170" w:hanging="0"/>
              <w:jc w:val="center"/>
              <w:rPr/>
            </w:pPr>
            <w:r>
              <w:rPr>
                <w:color w:val="000000"/>
                <w:kern w:val="0"/>
              </w:rPr>
              <w:t>Наименование</w:t>
            </w:r>
            <w:r>
              <w:rPr>
                <w:color w:val="000000"/>
                <w:spacing w:val="-6"/>
                <w:kern w:val="0"/>
              </w:rPr>
              <w:t xml:space="preserve"> </w:t>
            </w:r>
            <w:r>
              <w:rPr>
                <w:color w:val="000000"/>
                <w:kern w:val="0"/>
              </w:rPr>
              <w:t>мероприятия</w:t>
            </w:r>
            <w:r>
              <w:rPr>
                <w:color w:val="000000"/>
                <w:spacing w:val="-4"/>
                <w:kern w:val="0"/>
              </w:rPr>
              <w:t xml:space="preserve"> </w:t>
            </w:r>
            <w:r>
              <w:rPr>
                <w:color w:val="000000"/>
                <w:kern w:val="0"/>
              </w:rPr>
              <w:t>(результата)</w:t>
            </w:r>
            <w:r>
              <w:rPr>
                <w:color w:val="000000"/>
                <w:spacing w:val="-7"/>
                <w:kern w:val="0"/>
              </w:rPr>
              <w:t xml:space="preserve"> </w:t>
            </w:r>
            <w:r>
              <w:rPr>
                <w:color w:val="000000"/>
                <w:spacing w:val="-4"/>
                <w:kern w:val="0"/>
              </w:rPr>
              <w:t xml:space="preserve">/ </w:t>
            </w:r>
            <w:r>
              <w:rPr>
                <w:color w:val="000000"/>
                <w:kern w:val="0"/>
              </w:rPr>
              <w:t>источники</w:t>
            </w:r>
            <w:r>
              <w:rPr>
                <w:color w:val="000000"/>
                <w:spacing w:val="-6"/>
                <w:kern w:val="0"/>
              </w:rPr>
              <w:t xml:space="preserve"> </w:t>
            </w:r>
            <w:r>
              <w:rPr>
                <w:color w:val="000000"/>
                <w:kern w:val="0"/>
              </w:rPr>
              <w:t>финансового обеспечения</w:t>
            </w:r>
          </w:p>
        </w:tc>
        <w:tc>
          <w:tcPr>
            <w:tcW w:w="702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52" w:after="0"/>
              <w:ind w:left="37" w:right="22" w:hanging="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Объем</w:t>
            </w:r>
            <w:r>
              <w:rPr>
                <w:color w:val="000000"/>
                <w:spacing w:val="-5"/>
                <w:kern w:val="0"/>
              </w:rPr>
              <w:t xml:space="preserve"> </w:t>
            </w:r>
            <w:r>
              <w:rPr>
                <w:color w:val="000000"/>
                <w:kern w:val="0"/>
              </w:rPr>
              <w:t>финансового</w:t>
            </w:r>
            <w:r>
              <w:rPr>
                <w:color w:val="000000"/>
                <w:spacing w:val="-4"/>
                <w:kern w:val="0"/>
              </w:rPr>
              <w:t xml:space="preserve"> </w:t>
            </w:r>
            <w:r>
              <w:rPr>
                <w:color w:val="000000"/>
                <w:kern w:val="0"/>
              </w:rPr>
              <w:t>обеспечения</w:t>
            </w:r>
            <w:r>
              <w:rPr>
                <w:color w:val="000000"/>
                <w:spacing w:val="-3"/>
                <w:kern w:val="0"/>
              </w:rPr>
              <w:t xml:space="preserve"> </w:t>
            </w:r>
            <w:r>
              <w:rPr>
                <w:color w:val="000000"/>
                <w:kern w:val="0"/>
              </w:rPr>
              <w:t>по</w:t>
            </w:r>
            <w:r>
              <w:rPr>
                <w:color w:val="000000"/>
                <w:spacing w:val="-4"/>
                <w:kern w:val="0"/>
              </w:rPr>
              <w:t xml:space="preserve"> </w:t>
            </w:r>
            <w:r>
              <w:rPr>
                <w:color w:val="000000"/>
                <w:kern w:val="0"/>
              </w:rPr>
              <w:t>годам</w:t>
            </w:r>
            <w:r>
              <w:rPr>
                <w:color w:val="000000"/>
                <w:spacing w:val="-4"/>
                <w:kern w:val="0"/>
              </w:rPr>
              <w:t xml:space="preserve"> </w:t>
            </w:r>
            <w:r>
              <w:rPr>
                <w:color w:val="000000"/>
                <w:kern w:val="0"/>
              </w:rPr>
              <w:t>реализации (тыс</w:t>
            </w:r>
            <w:r>
              <w:rPr>
                <w:color w:val="000000"/>
                <w:spacing w:val="-6"/>
                <w:kern w:val="0"/>
              </w:rPr>
              <w:t>.</w:t>
            </w:r>
            <w:r>
              <w:rPr>
                <w:color w:val="000000"/>
                <w:kern w:val="0"/>
              </w:rPr>
              <w:t xml:space="preserve"> руб.)</w:t>
            </w:r>
          </w:p>
        </w:tc>
      </w:tr>
      <w:tr>
        <w:trPr>
          <w:trHeight w:val="403" w:hRule="atLeast"/>
        </w:trPr>
        <w:tc>
          <w:tcPr>
            <w:tcW w:w="833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48" w:after="0"/>
              <w:ind w:right="113" w:hanging="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2024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57" w:hanging="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2025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ind w:left="170" w:right="57" w:hanging="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2026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ind w:left="170" w:right="57" w:hanging="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2027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ind w:left="170" w:right="57" w:hanging="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2028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ind w:left="170" w:right="57" w:hanging="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2029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ind w:left="170" w:right="57" w:hanging="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2030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ind w:left="170" w:right="57" w:hanging="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Всего</w:t>
            </w:r>
          </w:p>
        </w:tc>
      </w:tr>
    </w:tbl>
    <w:p>
      <w:pPr>
        <w:pStyle w:val="Style20"/>
        <w:rPr>
          <w:rFonts w:ascii="Times New Roman" w:hAnsi="Times New Roman"/>
          <w:color w:val="FFFFFF"/>
          <w:sz w:val="4"/>
        </w:rPr>
      </w:pPr>
      <w:r>
        <w:rPr>
          <w:rFonts w:ascii="Times New Roman" w:hAnsi="Times New Roman"/>
          <w:color w:val="FFFFFF"/>
          <w:sz w:val="4"/>
        </w:rPr>
        <w:t>пурум-рум</w:t>
      </w:r>
    </w:p>
    <w:tbl>
      <w:tblPr>
        <w:tblW w:w="15356" w:type="dxa"/>
        <w:jc w:val="left"/>
        <w:tblInd w:w="25" w:type="dxa"/>
        <w:tblLayout w:type="fixed"/>
        <w:tblCellMar>
          <w:top w:w="0" w:type="dxa"/>
          <w:left w:w="5" w:type="dxa"/>
          <w:bottom w:w="0" w:type="dxa"/>
          <w:right w:w="0" w:type="dxa"/>
        </w:tblCellMar>
        <w:tblLook w:noVBand="0" w:val="0000" w:noHBand="0" w:lastColumn="0" w:firstColumn="0" w:lastRow="0" w:firstRow="0"/>
      </w:tblPr>
      <w:tblGrid>
        <w:gridCol w:w="8333"/>
        <w:gridCol w:w="837"/>
        <w:gridCol w:w="835"/>
        <w:gridCol w:w="831"/>
        <w:gridCol w:w="843"/>
        <w:gridCol w:w="836"/>
        <w:gridCol w:w="837"/>
        <w:gridCol w:w="833"/>
        <w:gridCol w:w="1169"/>
      </w:tblGrid>
      <w:tr>
        <w:trPr>
          <w:tblHeader w:val="true"/>
          <w:trHeight w:val="330" w:hRule="atLeast"/>
        </w:trPr>
        <w:tc>
          <w:tcPr>
            <w:tcW w:w="8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52" w:after="0"/>
              <w:ind w:left="113" w:hanging="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1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52" w:after="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2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52" w:after="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3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52" w:after="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52" w:after="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5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52" w:after="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6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52" w:after="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7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52" w:after="0"/>
              <w:ind w:left="170" w:hanging="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8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52" w:after="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9</w:t>
            </w:r>
          </w:p>
        </w:tc>
      </w:tr>
      <w:tr>
        <w:trPr>
          <w:trHeight w:val="330" w:hRule="atLeast"/>
        </w:trPr>
        <w:tc>
          <w:tcPr>
            <w:tcW w:w="83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(всего), </w:t>
              <w:br/>
              <w:t>в том числе:</w:t>
            </w: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52" w:after="0"/>
              <w:jc w:val="center"/>
              <w:rPr>
                <w:rFonts w:cs="Times New Roman"/>
                <w:color w:val="000000"/>
                <w:kern w:val="0"/>
              </w:rPr>
            </w:pPr>
            <w:r>
              <w:rPr>
                <w:rFonts w:cs="Times New Roman"/>
                <w:color w:val="000000"/>
                <w:kern w:val="0"/>
              </w:rPr>
              <w:t>23894,65</w:t>
            </w:r>
          </w:p>
        </w:tc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52" w:after="0"/>
              <w:jc w:val="center"/>
              <w:rPr>
                <w:rFonts w:cs="Times New Roman"/>
                <w:color w:val="000000"/>
                <w:kern w:val="0"/>
              </w:rPr>
            </w:pPr>
            <w:r>
              <w:rPr>
                <w:rFonts w:cs="Times New Roman"/>
                <w:color w:val="000000"/>
                <w:kern w:val="0"/>
              </w:rPr>
              <w:t>4000,00</w:t>
            </w:r>
          </w:p>
        </w:tc>
        <w:tc>
          <w:tcPr>
            <w:tcW w:w="83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52" w:after="0"/>
              <w:jc w:val="center"/>
              <w:rPr>
                <w:rFonts w:cs="Times New Roman"/>
                <w:color w:val="000000"/>
                <w:kern w:val="0"/>
              </w:rPr>
            </w:pPr>
            <w:r>
              <w:rPr>
                <w:rFonts w:cs="Times New Roman"/>
                <w:color w:val="000000"/>
                <w:kern w:val="0"/>
              </w:rPr>
              <w:t>0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52" w:after="0"/>
              <w:jc w:val="center"/>
              <w:rPr>
                <w:rFonts w:cs="Times New Roman"/>
                <w:color w:val="000000"/>
                <w:kern w:val="0"/>
              </w:rPr>
            </w:pPr>
            <w:r>
              <w:rPr>
                <w:rFonts w:cs="Times New Roman"/>
                <w:color w:val="000000"/>
                <w:kern w:val="0"/>
              </w:rPr>
              <w:t>0</w:t>
            </w:r>
          </w:p>
        </w:tc>
        <w:tc>
          <w:tcPr>
            <w:tcW w:w="83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52" w:after="0"/>
              <w:jc w:val="center"/>
              <w:rPr>
                <w:rFonts w:cs="Times New Roman"/>
                <w:color w:val="000000"/>
                <w:kern w:val="0"/>
              </w:rPr>
            </w:pPr>
            <w:r>
              <w:rPr>
                <w:rFonts w:cs="Times New Roman"/>
                <w:color w:val="000000"/>
                <w:kern w:val="0"/>
              </w:rPr>
              <w:t>0</w:t>
            </w: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52" w:after="0"/>
              <w:jc w:val="center"/>
              <w:rPr>
                <w:rFonts w:cs="Times New Roman"/>
                <w:color w:val="000000"/>
                <w:kern w:val="0"/>
              </w:rPr>
            </w:pPr>
            <w:r>
              <w:rPr>
                <w:rFonts w:cs="Times New Roman"/>
                <w:color w:val="000000"/>
                <w:kern w:val="0"/>
              </w:rPr>
              <w:t>0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52" w:after="0"/>
              <w:ind w:left="-61" w:hanging="0"/>
              <w:jc w:val="center"/>
              <w:rPr>
                <w:rFonts w:cs="Times New Roman"/>
                <w:color w:val="000000"/>
                <w:kern w:val="0"/>
              </w:rPr>
            </w:pPr>
            <w:r>
              <w:rPr>
                <w:rFonts w:cs="Times New Roman"/>
                <w:color w:val="000000"/>
                <w:kern w:val="0"/>
              </w:rPr>
              <w:t>0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52" w:after="0"/>
              <w:jc w:val="center"/>
              <w:rPr>
                <w:rFonts w:cs="Times New Roman"/>
                <w:color w:val="000000"/>
                <w:kern w:val="0"/>
              </w:rPr>
            </w:pPr>
            <w:r>
              <w:rPr>
                <w:rFonts w:cs="Times New Roman"/>
                <w:color w:val="000000"/>
                <w:kern w:val="0"/>
              </w:rPr>
              <w:t>27894,65</w:t>
            </w:r>
          </w:p>
        </w:tc>
      </w:tr>
      <w:tr>
        <w:trPr>
          <w:trHeight w:val="330" w:hRule="atLeast"/>
        </w:trPr>
        <w:tc>
          <w:tcPr>
            <w:tcW w:w="8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both"/>
              <w:rPr>
                <w:iCs/>
              </w:rPr>
            </w:pPr>
            <w:r>
              <w:rPr>
                <w:rFonts w:ascii="Times New Roman" w:hAnsi="Times New Roman"/>
                <w:iCs/>
              </w:rPr>
              <w:t>Бюджет субъекта Российской Федерации (всего), из них: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</w:rPr>
            </w:pPr>
            <w:r>
              <w:rPr>
                <w:rFonts w:cs="Times New Roman"/>
                <w:color w:val="000000"/>
                <w:kern w:val="0"/>
              </w:rPr>
              <w:t>23894,65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</w:rPr>
            </w:pPr>
            <w:r>
              <w:rPr>
                <w:rFonts w:cs="Times New Roman"/>
                <w:color w:val="000000"/>
                <w:kern w:val="0"/>
              </w:rPr>
              <w:t>4000,00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</w:rPr>
            </w:pPr>
            <w:r>
              <w:rPr>
                <w:rFonts w:cs="Times New Roman"/>
                <w:color w:val="000000"/>
                <w:kern w:val="0"/>
              </w:rPr>
              <w:t>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</w:rPr>
            </w:pPr>
            <w:r>
              <w:rPr>
                <w:rFonts w:cs="Times New Roman"/>
                <w:color w:val="000000"/>
                <w:kern w:val="0"/>
              </w:rPr>
              <w:t>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</w:rPr>
            </w:pPr>
            <w:r>
              <w:rPr>
                <w:rFonts w:cs="Times New Roman"/>
                <w:color w:val="000000"/>
                <w:kern w:val="0"/>
              </w:rPr>
              <w:t>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</w:rPr>
            </w:pPr>
            <w:r>
              <w:rPr>
                <w:rFonts w:cs="Times New Roman"/>
                <w:color w:val="000000"/>
                <w:kern w:val="0"/>
              </w:rPr>
              <w:t>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</w:rPr>
            </w:pPr>
            <w:r>
              <w:rPr>
                <w:rFonts w:cs="Times New Roman"/>
                <w:color w:val="000000"/>
                <w:kern w:val="0"/>
              </w:rPr>
              <w:t>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</w:rPr>
            </w:pPr>
            <w:r>
              <w:rPr>
                <w:rFonts w:cs="Times New Roman"/>
                <w:color w:val="000000"/>
                <w:kern w:val="0"/>
              </w:rPr>
              <w:t>27894,65</w:t>
            </w:r>
          </w:p>
        </w:tc>
      </w:tr>
      <w:tr>
        <w:trPr>
          <w:trHeight w:val="330" w:hRule="atLeast"/>
        </w:trPr>
        <w:tc>
          <w:tcPr>
            <w:tcW w:w="83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454" w:hanging="0"/>
              <w:rPr>
                <w:color w:val="000000"/>
                <w:kern w:val="0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в том числе межбюджетные трансферты из федерального бюджета</w:t>
            </w: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1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6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</w:tr>
      <w:tr>
        <w:trPr>
          <w:trHeight w:val="330" w:hRule="atLeast"/>
        </w:trPr>
        <w:tc>
          <w:tcPr>
            <w:tcW w:w="83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454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1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6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</w:tr>
      <w:tr>
        <w:trPr>
          <w:trHeight w:val="333" w:hRule="atLeast"/>
        </w:trPr>
        <w:tc>
          <w:tcPr>
            <w:tcW w:w="8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454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межбюджетные трансферты местным бюджетам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</w:tr>
      <w:tr>
        <w:trPr>
          <w:trHeight w:val="540" w:hRule="atLeast"/>
        </w:trPr>
        <w:tc>
          <w:tcPr>
            <w:tcW w:w="8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454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</w:tr>
      <w:tr>
        <w:trPr>
          <w:trHeight w:val="640" w:hRule="atLeast"/>
        </w:trPr>
        <w:tc>
          <w:tcPr>
            <w:tcW w:w="8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</w:tr>
      <w:tr>
        <w:trPr>
          <w:trHeight w:val="400" w:hRule="atLeast"/>
        </w:trPr>
        <w:tc>
          <w:tcPr>
            <w:tcW w:w="8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Консолидированные бюджеты муниципальных образований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</w:tr>
      <w:tr>
        <w:trPr>
          <w:trHeight w:val="330" w:hRule="atLeast"/>
        </w:trPr>
        <w:tc>
          <w:tcPr>
            <w:tcW w:w="8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</w:tr>
      <w:tr>
        <w:trPr>
          <w:trHeight w:val="330" w:hRule="atLeast"/>
        </w:trPr>
        <w:tc>
          <w:tcPr>
            <w:tcW w:w="83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171" w:hanging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(результат) «Проведение геологоразведочных работ с целью оценки и разведки месторождения строительного камня на участке недр местного значения «Аникинский», всего, в том числе:</w:t>
            </w: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</w:rPr>
            </w:pPr>
            <w:r>
              <w:rPr>
                <w:rFonts w:cs="Times New Roman"/>
                <w:color w:val="000000"/>
                <w:kern w:val="0"/>
              </w:rPr>
              <w:t>11894,65</w:t>
            </w:r>
          </w:p>
        </w:tc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</w:rPr>
            </w:pPr>
            <w:r>
              <w:rPr>
                <w:rFonts w:cs="Times New Roman"/>
                <w:color w:val="000000"/>
                <w:kern w:val="0"/>
              </w:rPr>
              <w:t>2000,00</w:t>
            </w:r>
          </w:p>
        </w:tc>
        <w:tc>
          <w:tcPr>
            <w:tcW w:w="8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</w:rPr>
            </w:pPr>
            <w:r>
              <w:rPr>
                <w:rFonts w:cs="Times New Roman"/>
                <w:color w:val="000000"/>
                <w:kern w:val="0"/>
              </w:rPr>
              <w:t>0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</w:rPr>
            </w:pPr>
            <w:r>
              <w:rPr>
                <w:rFonts w:cs="Times New Roman"/>
                <w:color w:val="000000"/>
                <w:kern w:val="0"/>
              </w:rPr>
              <w:t>0</w:t>
            </w:r>
          </w:p>
        </w:tc>
        <w:tc>
          <w:tcPr>
            <w:tcW w:w="83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</w:rPr>
            </w:pPr>
            <w:r>
              <w:rPr>
                <w:rFonts w:cs="Times New Roman"/>
                <w:color w:val="000000"/>
                <w:kern w:val="0"/>
              </w:rPr>
              <w:t>0</w:t>
            </w: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</w:rPr>
            </w:pPr>
            <w:r>
              <w:rPr>
                <w:rFonts w:cs="Times New Roman"/>
                <w:color w:val="000000"/>
                <w:kern w:val="0"/>
              </w:rPr>
              <w:t>0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</w:rPr>
            </w:pPr>
            <w:r>
              <w:rPr>
                <w:rFonts w:cs="Times New Roman"/>
                <w:color w:val="000000"/>
                <w:kern w:val="0"/>
              </w:rPr>
              <w:t>0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</w:rPr>
            </w:pPr>
            <w:r>
              <w:rPr>
                <w:rFonts w:cs="Times New Roman"/>
                <w:color w:val="000000"/>
                <w:kern w:val="0"/>
              </w:rPr>
              <w:t>13894,65</w:t>
            </w:r>
          </w:p>
        </w:tc>
      </w:tr>
      <w:tr>
        <w:trPr>
          <w:trHeight w:val="330" w:hRule="atLeast"/>
        </w:trPr>
        <w:tc>
          <w:tcPr>
            <w:tcW w:w="83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171" w:hanging="0"/>
              <w:jc w:val="both"/>
              <w:rPr>
                <w:iCs/>
              </w:rPr>
            </w:pPr>
            <w:r>
              <w:rPr>
                <w:rFonts w:ascii="Times New Roman" w:hAnsi="Times New Roman"/>
                <w:iCs/>
              </w:rPr>
              <w:t>Бюджет субъекта Российской Федерации (всего), из них:</w:t>
            </w: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</w:rPr>
            </w:pPr>
            <w:r>
              <w:rPr>
                <w:rFonts w:cs="Times New Roman"/>
                <w:color w:val="000000"/>
                <w:kern w:val="0"/>
              </w:rPr>
              <w:t>11894,65</w:t>
            </w:r>
          </w:p>
        </w:tc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</w:rPr>
            </w:pPr>
            <w:r>
              <w:rPr>
                <w:rFonts w:cs="Times New Roman"/>
                <w:color w:val="000000"/>
                <w:kern w:val="0"/>
              </w:rPr>
              <w:t>2000,00</w:t>
            </w:r>
          </w:p>
        </w:tc>
        <w:tc>
          <w:tcPr>
            <w:tcW w:w="8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</w:rPr>
            </w:pPr>
            <w:r>
              <w:rPr>
                <w:rFonts w:cs="Times New Roman"/>
                <w:color w:val="000000"/>
                <w:kern w:val="0"/>
              </w:rPr>
              <w:t>0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</w:rPr>
            </w:pPr>
            <w:r>
              <w:rPr>
                <w:rFonts w:cs="Times New Roman"/>
                <w:color w:val="000000"/>
                <w:kern w:val="0"/>
              </w:rPr>
              <w:t>0</w:t>
            </w:r>
          </w:p>
        </w:tc>
        <w:tc>
          <w:tcPr>
            <w:tcW w:w="83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</w:rPr>
            </w:pPr>
            <w:r>
              <w:rPr>
                <w:rFonts w:cs="Times New Roman"/>
                <w:color w:val="000000"/>
                <w:kern w:val="0"/>
              </w:rPr>
              <w:t>0</w:t>
            </w: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</w:rPr>
            </w:pPr>
            <w:r>
              <w:rPr>
                <w:rFonts w:cs="Times New Roman"/>
                <w:color w:val="000000"/>
                <w:kern w:val="0"/>
              </w:rPr>
              <w:t>0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</w:rPr>
            </w:pPr>
            <w:r>
              <w:rPr>
                <w:rFonts w:cs="Times New Roman"/>
                <w:color w:val="000000"/>
                <w:kern w:val="0"/>
              </w:rPr>
              <w:t>0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</w:rPr>
            </w:pPr>
            <w:r>
              <w:rPr>
                <w:rFonts w:cs="Times New Roman"/>
                <w:color w:val="000000"/>
                <w:kern w:val="0"/>
              </w:rPr>
              <w:t>13894,65</w:t>
            </w:r>
          </w:p>
        </w:tc>
      </w:tr>
      <w:tr>
        <w:trPr>
          <w:trHeight w:val="330" w:hRule="atLeast"/>
        </w:trPr>
        <w:tc>
          <w:tcPr>
            <w:tcW w:w="83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171" w:firstLine="32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1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6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</w:tr>
      <w:tr>
        <w:trPr>
          <w:trHeight w:val="330" w:hRule="atLeast"/>
        </w:trPr>
        <w:tc>
          <w:tcPr>
            <w:tcW w:w="83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171" w:firstLine="32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1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6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</w:tr>
      <w:tr>
        <w:trPr>
          <w:trHeight w:val="330" w:hRule="atLeast"/>
        </w:trPr>
        <w:tc>
          <w:tcPr>
            <w:tcW w:w="83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171" w:firstLine="32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межбюджетные трансферты местным бюджетам</w:t>
            </w: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1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6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</w:tr>
      <w:tr>
        <w:trPr>
          <w:trHeight w:val="330" w:hRule="atLeast"/>
        </w:trPr>
        <w:tc>
          <w:tcPr>
            <w:tcW w:w="83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171" w:firstLine="28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межбюджетные трансферты бюджету территориального государственного внебюджетного фонда (бюджету территориального фонда</w:t>
            </w:r>
          </w:p>
          <w:p>
            <w:pPr>
              <w:pStyle w:val="Normal"/>
              <w:widowControl w:val="false"/>
              <w:ind w:left="171" w:firstLine="28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обязательного медицинского страхования)</w:t>
            </w: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1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6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</w:tr>
      <w:tr>
        <w:trPr>
          <w:trHeight w:val="330" w:hRule="atLeast"/>
        </w:trPr>
        <w:tc>
          <w:tcPr>
            <w:tcW w:w="83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171" w:hanging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1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6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</w:tr>
      <w:tr>
        <w:trPr>
          <w:trHeight w:val="330" w:hRule="atLeast"/>
        </w:trPr>
        <w:tc>
          <w:tcPr>
            <w:tcW w:w="83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171" w:hanging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Консолидированные бюджеты муниципальных образований</w:t>
            </w: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1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6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</w:tr>
      <w:tr>
        <w:trPr>
          <w:trHeight w:val="330" w:hRule="atLeast"/>
        </w:trPr>
        <w:tc>
          <w:tcPr>
            <w:tcW w:w="83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171" w:hanging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1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6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</w:tr>
      <w:tr>
        <w:trPr>
          <w:trHeight w:val="330" w:hRule="atLeast"/>
        </w:trPr>
        <w:tc>
          <w:tcPr>
            <w:tcW w:w="83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171" w:hanging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(результат) «Выполнение работ по объекту «Геологическое изучение в целях оценки и разведки месторождения строительного камня на участке недр местного значения «Сопка Придорожная», Мильковский муниципальный район», всего, в том числе:</w:t>
            </w: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</w:rPr>
            </w:pPr>
            <w:r>
              <w:rPr>
                <w:rFonts w:cs="Times New Roman"/>
                <w:color w:val="000000"/>
                <w:kern w:val="0"/>
              </w:rPr>
              <w:t>12000,00</w:t>
            </w:r>
          </w:p>
        </w:tc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</w:rPr>
            </w:pPr>
            <w:r>
              <w:rPr>
                <w:rFonts w:cs="Times New Roman"/>
                <w:color w:val="000000"/>
                <w:kern w:val="0"/>
              </w:rPr>
              <w:t>2000,00</w:t>
            </w:r>
          </w:p>
        </w:tc>
        <w:tc>
          <w:tcPr>
            <w:tcW w:w="8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</w:rPr>
            </w:pPr>
            <w:r>
              <w:rPr>
                <w:rFonts w:cs="Times New Roman"/>
                <w:color w:val="000000"/>
                <w:kern w:val="0"/>
              </w:rPr>
              <w:t>0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</w:rPr>
            </w:pPr>
            <w:r>
              <w:rPr>
                <w:rFonts w:cs="Times New Roman"/>
                <w:color w:val="000000"/>
                <w:kern w:val="0"/>
              </w:rPr>
              <w:t>0</w:t>
            </w:r>
          </w:p>
        </w:tc>
        <w:tc>
          <w:tcPr>
            <w:tcW w:w="83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</w:rPr>
            </w:pPr>
            <w:r>
              <w:rPr>
                <w:rFonts w:cs="Times New Roman"/>
                <w:color w:val="000000"/>
                <w:kern w:val="0"/>
              </w:rPr>
              <w:t>0</w:t>
            </w: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</w:rPr>
            </w:pPr>
            <w:r>
              <w:rPr>
                <w:rFonts w:cs="Times New Roman"/>
                <w:color w:val="000000"/>
                <w:kern w:val="0"/>
              </w:rPr>
              <w:t>0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</w:rPr>
            </w:pPr>
            <w:r>
              <w:rPr>
                <w:rFonts w:cs="Times New Roman"/>
                <w:color w:val="000000"/>
                <w:kern w:val="0"/>
              </w:rPr>
              <w:t>0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</w:rPr>
            </w:pPr>
            <w:r>
              <w:rPr>
                <w:rFonts w:cs="Times New Roman"/>
                <w:color w:val="000000"/>
                <w:kern w:val="0"/>
              </w:rPr>
              <w:t>14000,00</w:t>
            </w:r>
          </w:p>
        </w:tc>
      </w:tr>
      <w:tr>
        <w:trPr>
          <w:trHeight w:val="330" w:hRule="atLeast"/>
        </w:trPr>
        <w:tc>
          <w:tcPr>
            <w:tcW w:w="83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171" w:hanging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Бюджет субъекта Российской Федерации (всего), из них:</w:t>
            </w: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</w:rPr>
            </w:pPr>
            <w:r>
              <w:rPr>
                <w:rFonts w:cs="Times New Roman"/>
                <w:color w:val="000000"/>
                <w:kern w:val="0"/>
              </w:rPr>
              <w:t>12000,00</w:t>
            </w:r>
          </w:p>
        </w:tc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</w:rPr>
            </w:pPr>
            <w:r>
              <w:rPr>
                <w:rFonts w:cs="Times New Roman"/>
                <w:color w:val="000000"/>
                <w:kern w:val="0"/>
              </w:rPr>
              <w:t>2000,00</w:t>
            </w:r>
          </w:p>
        </w:tc>
        <w:tc>
          <w:tcPr>
            <w:tcW w:w="8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</w:rPr>
            </w:pPr>
            <w:r>
              <w:rPr>
                <w:rFonts w:cs="Times New Roman"/>
                <w:color w:val="000000"/>
                <w:kern w:val="0"/>
              </w:rPr>
              <w:t>0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</w:rPr>
            </w:pPr>
            <w:r>
              <w:rPr>
                <w:rFonts w:cs="Times New Roman"/>
                <w:color w:val="000000"/>
                <w:kern w:val="0"/>
              </w:rPr>
              <w:t>0</w:t>
            </w:r>
          </w:p>
        </w:tc>
        <w:tc>
          <w:tcPr>
            <w:tcW w:w="83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</w:rPr>
            </w:pPr>
            <w:r>
              <w:rPr>
                <w:rFonts w:cs="Times New Roman"/>
                <w:color w:val="000000"/>
                <w:kern w:val="0"/>
              </w:rPr>
              <w:t>0</w:t>
            </w: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</w:rPr>
            </w:pPr>
            <w:r>
              <w:rPr>
                <w:rFonts w:cs="Times New Roman"/>
                <w:color w:val="000000"/>
                <w:kern w:val="0"/>
              </w:rPr>
              <w:t>0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</w:rPr>
            </w:pPr>
            <w:r>
              <w:rPr>
                <w:rFonts w:cs="Times New Roman"/>
                <w:color w:val="000000"/>
                <w:kern w:val="0"/>
              </w:rPr>
              <w:t>0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</w:rPr>
            </w:pPr>
            <w:r>
              <w:rPr>
                <w:rFonts w:cs="Times New Roman"/>
                <w:color w:val="000000"/>
                <w:kern w:val="0"/>
              </w:rPr>
              <w:t>14000,00</w:t>
            </w:r>
          </w:p>
        </w:tc>
      </w:tr>
      <w:tr>
        <w:trPr>
          <w:trHeight w:val="330" w:hRule="atLeast"/>
        </w:trPr>
        <w:tc>
          <w:tcPr>
            <w:tcW w:w="83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171" w:hanging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1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6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</w:tr>
      <w:tr>
        <w:trPr>
          <w:trHeight w:val="330" w:hRule="atLeast"/>
        </w:trPr>
        <w:tc>
          <w:tcPr>
            <w:tcW w:w="83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171" w:hanging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1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6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</w:tr>
      <w:tr>
        <w:trPr>
          <w:trHeight w:val="330" w:hRule="atLeast"/>
        </w:trPr>
        <w:tc>
          <w:tcPr>
            <w:tcW w:w="83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171" w:hanging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межбюджетные трансферты местным бюджетам</w:t>
            </w: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1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6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</w:tr>
      <w:tr>
        <w:trPr>
          <w:trHeight w:val="330" w:hRule="atLeast"/>
        </w:trPr>
        <w:tc>
          <w:tcPr>
            <w:tcW w:w="83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171" w:firstLine="28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межбюджетные трансферты бюджету территориального государственного внебюджетного фонда (бюджету территориального фонда</w:t>
            </w:r>
          </w:p>
          <w:p>
            <w:pPr>
              <w:pStyle w:val="Normal"/>
              <w:widowControl w:val="false"/>
              <w:ind w:left="171" w:hanging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обязательного медицинского страхования)</w:t>
            </w: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1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6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</w:tr>
      <w:tr>
        <w:trPr>
          <w:trHeight w:val="330" w:hRule="atLeast"/>
        </w:trPr>
        <w:tc>
          <w:tcPr>
            <w:tcW w:w="83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171" w:hanging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1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6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</w:tr>
      <w:tr>
        <w:trPr>
          <w:trHeight w:val="330" w:hRule="atLeast"/>
        </w:trPr>
        <w:tc>
          <w:tcPr>
            <w:tcW w:w="83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171" w:hanging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Консолидированные бюджеты муниципальных образований</w:t>
            </w: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1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6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</w:tr>
      <w:tr>
        <w:trPr>
          <w:trHeight w:val="330" w:hRule="atLeast"/>
        </w:trPr>
        <w:tc>
          <w:tcPr>
            <w:tcW w:w="83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171" w:hanging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1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6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</w:tr>
      <w:tr>
        <w:trPr>
          <w:trHeight w:val="330" w:hRule="atLeast"/>
        </w:trPr>
        <w:tc>
          <w:tcPr>
            <w:tcW w:w="83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both"/>
              <w:rPr>
                <w:iCs/>
                <w:color w:val="000000"/>
                <w:kern w:val="0"/>
              </w:rPr>
            </w:pPr>
            <w:r>
              <w:rPr>
                <w:rFonts w:ascii="Times New Roman" w:hAnsi="Times New Roman"/>
                <w:iCs/>
                <w:color w:val="000000"/>
                <w:kern w:val="0"/>
              </w:rPr>
              <w:t>Нераспределенный резерв (бюджет субъекта Российской Федерации</w:t>
            </w: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1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6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rFonts w:cs="Times New Roman"/>
                <w:color w:val="000000"/>
                <w:kern w:val="0"/>
                <w:highlight w:val="yellow"/>
              </w:rPr>
            </w:pPr>
            <w:r>
              <w:rPr>
                <w:rFonts w:cs="Times New Roman"/>
                <w:color w:val="000000"/>
                <w:kern w:val="0"/>
                <w:highlight w:val="yellow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jc w:val="center"/>
        <w:rPr>
          <w:highlight w:val="red"/>
        </w:rPr>
      </w:pPr>
      <w:r>
        <w:rPr>
          <w:highlight w:val="red"/>
        </w:rPr>
      </w:r>
      <w:r>
        <w:br w:type="page"/>
      </w:r>
    </w:p>
    <w:p>
      <w:pPr>
        <w:pStyle w:val="Normal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6. План реализации комплекса процессных мероприятий в 2024 году</w:t>
      </w:r>
    </w:p>
    <w:p>
      <w:pPr>
        <w:pStyle w:val="Normal"/>
        <w:jc w:val="center"/>
        <w:rPr>
          <w:rFonts w:ascii="Times New Roman" w:hAnsi="Times New Roman"/>
          <w:i/>
          <w:i/>
          <w:iCs/>
        </w:rPr>
      </w:pPr>
      <w:r>
        <w:rPr>
          <w:rFonts w:ascii="Times New Roman" w:hAnsi="Times New Roman"/>
          <w:i/>
          <w:iCs/>
        </w:rPr>
        <w:t>(обязательно к заполнению)</w:t>
      </w:r>
    </w:p>
    <w:p>
      <w:pPr>
        <w:pStyle w:val="Normal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tbl>
      <w:tblPr>
        <w:tblW w:w="15356" w:type="dxa"/>
        <w:jc w:val="left"/>
        <w:tblInd w:w="25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noVBand="0" w:val="0000" w:noHBand="0" w:lastColumn="0" w:firstColumn="0" w:lastRow="0" w:firstRow="0"/>
      </w:tblPr>
      <w:tblGrid>
        <w:gridCol w:w="5380"/>
        <w:gridCol w:w="1989"/>
        <w:gridCol w:w="3280"/>
        <w:gridCol w:w="2242"/>
        <w:gridCol w:w="2465"/>
      </w:tblGrid>
      <w:tr>
        <w:trPr>
          <w:trHeight w:val="458" w:hRule="atLeast"/>
        </w:trPr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lineRule="auto" w:line="312"/>
              <w:ind w:right="57" w:hanging="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Задача, мероприятие (результат)/контрольная точка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49" w:after="0"/>
              <w:ind w:right="57" w:hanging="0"/>
              <w:jc w:val="center"/>
              <w:rPr>
                <w:color w:val="000000"/>
                <w:spacing w:val="-1"/>
                <w:kern w:val="0"/>
              </w:rPr>
            </w:pPr>
            <w:r>
              <w:rPr>
                <w:color w:val="000000"/>
                <w:spacing w:val="-1"/>
                <w:kern w:val="0"/>
              </w:rPr>
              <w:t>Дата наступления контрольной точки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49" w:after="0"/>
              <w:ind w:left="57" w:right="57" w:hanging="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Ответственный исполнитель (Ф.И.О., должность, наименование ИО субъекта или организации)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49" w:after="0"/>
              <w:ind w:left="113" w:right="113" w:hanging="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Вид подтверждающего документа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133" w:after="0"/>
              <w:ind w:left="57" w:right="57" w:hanging="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Информационная система (источник данных)</w:t>
            </w:r>
          </w:p>
        </w:tc>
      </w:tr>
    </w:tbl>
    <w:p>
      <w:pPr>
        <w:pStyle w:val="Style20"/>
        <w:rPr/>
      </w:pPr>
      <w:r>
        <w:rPr/>
      </w:r>
    </w:p>
    <w:tbl>
      <w:tblPr>
        <w:tblW w:w="15356" w:type="dxa"/>
        <w:jc w:val="left"/>
        <w:tblInd w:w="25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noVBand="0" w:val="0000" w:noHBand="0" w:lastColumn="0" w:firstColumn="0" w:lastRow="0" w:firstRow="0"/>
      </w:tblPr>
      <w:tblGrid>
        <w:gridCol w:w="5380"/>
        <w:gridCol w:w="1989"/>
        <w:gridCol w:w="3280"/>
        <w:gridCol w:w="2242"/>
        <w:gridCol w:w="2465"/>
      </w:tblGrid>
      <w:tr>
        <w:trPr>
          <w:tblHeader w:val="true"/>
          <w:trHeight w:val="359" w:hRule="atLeast"/>
        </w:trPr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112" w:after="0"/>
              <w:ind w:left="57" w:right="57" w:hanging="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1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112" w:after="0"/>
              <w:ind w:left="57" w:right="57" w:hanging="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2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112" w:after="0"/>
              <w:ind w:left="57" w:right="57" w:hanging="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3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112" w:after="0"/>
              <w:ind w:left="57" w:right="57" w:hanging="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112" w:after="0"/>
              <w:ind w:left="57" w:right="57" w:hanging="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5</w:t>
            </w:r>
          </w:p>
        </w:tc>
      </w:tr>
      <w:tr>
        <w:trPr>
          <w:trHeight w:val="350" w:hRule="atLeast"/>
        </w:trPr>
        <w:tc>
          <w:tcPr>
            <w:tcW w:w="153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Задача «Расширение сырьевой базы для производства местных строительных материалов»</w:t>
            </w:r>
          </w:p>
        </w:tc>
      </w:tr>
      <w:tr>
        <w:trPr>
          <w:trHeight w:val="412" w:hRule="atLeast"/>
        </w:trPr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8" w:after="0"/>
              <w:ind w:left="170" w:hanging="0"/>
              <w:jc w:val="both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1. Мероприятие (результат) «Проведение геологоразведочных работ с целью оценки и разведки месторождения строительного камня на участке недр местного значения «Аникинский»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ind w:right="57" w:hanging="0"/>
              <w:jc w:val="both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ind w:right="57" w:hanging="0"/>
              <w:jc w:val="both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ind w:right="57" w:hanging="0"/>
              <w:jc w:val="both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ind w:right="57" w:hanging="0"/>
              <w:jc w:val="both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</w:r>
          </w:p>
        </w:tc>
      </w:tr>
      <w:tr>
        <w:trPr>
          <w:trHeight w:val="412" w:hRule="atLeast"/>
        </w:trPr>
        <w:tc>
          <w:tcPr>
            <w:tcW w:w="53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8" w:after="0"/>
              <w:ind w:left="170" w:hanging="0"/>
              <w:jc w:val="both"/>
              <w:rPr/>
            </w:pPr>
            <w:r>
              <w:rPr/>
              <w:t>1.1. Мероприятие (результат) «Проведение геологоразведочных работ с целью оценки и разведки месторождения строительного камня на участке недр местного значения «Аникинский» в 2024 году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ind w:right="57" w:hanging="0"/>
              <w:jc w:val="both"/>
              <w:rPr/>
            </w:pPr>
            <w:r>
              <w:rPr/>
            </w:r>
          </w:p>
        </w:tc>
        <w:tc>
          <w:tcPr>
            <w:tcW w:w="3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ind w:right="57" w:hanging="0"/>
              <w:jc w:val="both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</w:r>
          </w:p>
        </w:tc>
        <w:tc>
          <w:tcPr>
            <w:tcW w:w="22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ind w:right="57" w:hanging="0"/>
              <w:jc w:val="both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</w:r>
          </w:p>
        </w:tc>
        <w:tc>
          <w:tcPr>
            <w:tcW w:w="2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ind w:right="57" w:hanging="0"/>
              <w:jc w:val="both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</w:r>
          </w:p>
        </w:tc>
      </w:tr>
      <w:tr>
        <w:trPr>
          <w:trHeight w:val="412" w:hRule="atLeast"/>
        </w:trPr>
        <w:tc>
          <w:tcPr>
            <w:tcW w:w="53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8" w:after="0"/>
              <w:ind w:left="170" w:hanging="0"/>
              <w:jc w:val="both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Контрольная точка 1.1. «Разработка технического задания на выполнение работ»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57" w:hanging="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09.02.2024</w:t>
            </w:r>
          </w:p>
        </w:tc>
        <w:tc>
          <w:tcPr>
            <w:tcW w:w="3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57" w:hanging="0"/>
              <w:jc w:val="both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Браун Л.А., начальник отдела недропользования и горной промышленности Министерства природных ресурсов и экологии Камчатского края</w:t>
            </w:r>
          </w:p>
        </w:tc>
        <w:tc>
          <w:tcPr>
            <w:tcW w:w="22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57" w:hanging="0"/>
              <w:jc w:val="both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 xml:space="preserve">Техническое (геологическое) задание на выполнение работ по объекту: </w:t>
            </w:r>
            <w:r>
              <w:rPr/>
              <w:t>«Геологическое изучение в целях оценки и разведки месторождения строительного камня на участке недр местного значения «Аникинский», расположенном в Тигильском муниципальном районе Камчатского края»</w:t>
            </w:r>
          </w:p>
        </w:tc>
        <w:tc>
          <w:tcPr>
            <w:tcW w:w="2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57" w:hanging="0"/>
              <w:jc w:val="both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</w:r>
          </w:p>
        </w:tc>
      </w:tr>
      <w:tr>
        <w:trPr>
          <w:trHeight w:val="412" w:hRule="atLeast"/>
        </w:trPr>
        <w:tc>
          <w:tcPr>
            <w:tcW w:w="53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8" w:after="0"/>
              <w:ind w:left="170" w:hanging="0"/>
              <w:jc w:val="both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Контрольная точка 1.2. «Проведение процедуры закупки на выполнение работ»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57" w:hanging="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12.03.2024</w:t>
            </w:r>
          </w:p>
        </w:tc>
        <w:tc>
          <w:tcPr>
            <w:tcW w:w="3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57" w:hanging="0"/>
              <w:jc w:val="both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Сушенцова А.В., заместитель Министра — начальник отдела экономики и организационно-правового обеспечения Министерства природных ресурсов и экологии Камчатского края</w:t>
            </w:r>
          </w:p>
        </w:tc>
        <w:tc>
          <w:tcPr>
            <w:tcW w:w="22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57" w:hanging="0"/>
              <w:jc w:val="both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Извещение</w:t>
            </w:r>
          </w:p>
        </w:tc>
        <w:tc>
          <w:tcPr>
            <w:tcW w:w="2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57" w:hanging="0"/>
              <w:jc w:val="both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Единая информационная система в сфере закупок (ЕИС Закупки)</w:t>
            </w:r>
          </w:p>
        </w:tc>
      </w:tr>
      <w:tr>
        <w:trPr>
          <w:trHeight w:val="412" w:hRule="atLeast"/>
        </w:trPr>
        <w:tc>
          <w:tcPr>
            <w:tcW w:w="53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8" w:after="0"/>
              <w:ind w:left="170" w:hanging="0"/>
              <w:jc w:val="both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Контрольная точка 1.3. «Заключение государственного контракта на выполнение работ»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57" w:hanging="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14.05.2024</w:t>
            </w:r>
          </w:p>
        </w:tc>
        <w:tc>
          <w:tcPr>
            <w:tcW w:w="3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57" w:hanging="0"/>
              <w:jc w:val="both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Сушенцова А.В., заместитель Министра — начальник отдела экономики и организационно-правового обеспечения Министерства природных ресурсов и экологии Камчатского края</w:t>
            </w:r>
          </w:p>
        </w:tc>
        <w:tc>
          <w:tcPr>
            <w:tcW w:w="22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57" w:hanging="0"/>
              <w:jc w:val="both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 xml:space="preserve">Государственный контракт на выполнение работ по объекту: </w:t>
            </w:r>
            <w:r>
              <w:rPr/>
              <w:t>«Геологическое изучение в целях оценки и разведки месторождения строительного камня на участке недр местного значения «Аникинский», расположенном в Тигильском муниципальном районе Камчатского края»</w:t>
            </w:r>
          </w:p>
        </w:tc>
        <w:tc>
          <w:tcPr>
            <w:tcW w:w="2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57" w:hanging="0"/>
              <w:jc w:val="both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Единая информационная система в сфере закупок (ЕИС Закупки)</w:t>
            </w:r>
          </w:p>
        </w:tc>
      </w:tr>
      <w:tr>
        <w:trPr>
          <w:trHeight w:val="412" w:hRule="atLeast"/>
        </w:trPr>
        <w:tc>
          <w:tcPr>
            <w:tcW w:w="53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8" w:after="0"/>
              <w:ind w:left="170" w:hanging="0"/>
              <w:jc w:val="both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Контрольная точка 1.4. «Выполнение 1 этапа работ (подготовительные работы) в рамках государственного контракта»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57" w:hanging="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31.08.2024</w:t>
            </w:r>
          </w:p>
        </w:tc>
        <w:tc>
          <w:tcPr>
            <w:tcW w:w="3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57" w:hanging="0"/>
              <w:jc w:val="both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Браун Л.А., начальник отдела недропользования и горной промышленности Министерства природных ресурсов и экологии Камчатского края</w:t>
            </w:r>
          </w:p>
        </w:tc>
        <w:tc>
          <w:tcPr>
            <w:tcW w:w="22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57" w:hanging="0"/>
              <w:jc w:val="both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Информационный отчёт по результатам работ первого этапа</w:t>
            </w:r>
          </w:p>
        </w:tc>
        <w:tc>
          <w:tcPr>
            <w:tcW w:w="2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57" w:hanging="0"/>
              <w:jc w:val="both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</w:r>
          </w:p>
        </w:tc>
      </w:tr>
      <w:tr>
        <w:trPr>
          <w:trHeight w:val="412" w:hRule="atLeast"/>
        </w:trPr>
        <w:tc>
          <w:tcPr>
            <w:tcW w:w="53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8" w:after="0"/>
              <w:ind w:left="170" w:hanging="0"/>
              <w:jc w:val="both"/>
              <w:rPr/>
            </w:pPr>
            <w:r>
              <w:rPr>
                <w:color w:val="000000"/>
                <w:kern w:val="0"/>
              </w:rPr>
              <w:t>2. Мероприятие (результат) «</w:t>
            </w:r>
            <w:r>
              <w:rPr>
                <w:i/>
                <w:iCs/>
                <w:color w:val="000000"/>
                <w:kern w:val="0"/>
              </w:rPr>
              <w:t>Выполнение работ по объекту «Геологическое изучение в целях оценки и разведки месторождения строительного камня на участке недр местного значения «Сопка Придорожная», Мильковский муниципальный район»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ind w:right="57" w:hanging="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</w:r>
          </w:p>
        </w:tc>
        <w:tc>
          <w:tcPr>
            <w:tcW w:w="3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ind w:right="57" w:hanging="0"/>
              <w:jc w:val="both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</w:r>
          </w:p>
        </w:tc>
        <w:tc>
          <w:tcPr>
            <w:tcW w:w="22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ind w:right="57" w:hanging="0"/>
              <w:jc w:val="both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</w:r>
          </w:p>
        </w:tc>
        <w:tc>
          <w:tcPr>
            <w:tcW w:w="2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ind w:right="57" w:hanging="0"/>
              <w:jc w:val="both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</w:r>
          </w:p>
        </w:tc>
      </w:tr>
      <w:tr>
        <w:trPr>
          <w:trHeight w:val="412" w:hRule="atLeast"/>
        </w:trPr>
        <w:tc>
          <w:tcPr>
            <w:tcW w:w="53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8" w:after="0"/>
              <w:ind w:left="170" w:hanging="0"/>
              <w:jc w:val="both"/>
              <w:rPr/>
            </w:pPr>
            <w:r>
              <w:rPr>
                <w:color w:val="000000"/>
                <w:kern w:val="0"/>
              </w:rPr>
              <w:t>2.1</w:t>
            </w:r>
            <w:r>
              <w:rPr/>
              <w:t>. Мероприятие (результат) «</w:t>
            </w:r>
            <w:r>
              <w:rPr>
                <w:i/>
                <w:iCs/>
              </w:rPr>
              <w:t>Выполнение работ по объекту «Геологическое изучение в целях оценки и разведки месторождения строительного камня на участке недр местного значения «Сопка Придорожная», Мильковский муниципальный район»</w:t>
            </w:r>
            <w:r>
              <w:rPr/>
              <w:t xml:space="preserve"> в 2024 году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ind w:right="57" w:hanging="0"/>
              <w:jc w:val="center"/>
              <w:rPr/>
            </w:pPr>
            <w:r>
              <w:rPr/>
            </w:r>
          </w:p>
        </w:tc>
        <w:tc>
          <w:tcPr>
            <w:tcW w:w="3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ind w:right="57" w:hanging="0"/>
              <w:jc w:val="both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</w:r>
          </w:p>
        </w:tc>
        <w:tc>
          <w:tcPr>
            <w:tcW w:w="22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ind w:right="57" w:hanging="0"/>
              <w:jc w:val="both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</w:r>
          </w:p>
        </w:tc>
        <w:tc>
          <w:tcPr>
            <w:tcW w:w="2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ind w:right="57" w:hanging="0"/>
              <w:jc w:val="both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</w:r>
          </w:p>
        </w:tc>
      </w:tr>
      <w:tr>
        <w:trPr>
          <w:trHeight w:val="412" w:hRule="atLeast"/>
        </w:trPr>
        <w:tc>
          <w:tcPr>
            <w:tcW w:w="53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8" w:after="0"/>
              <w:ind w:left="170" w:hanging="0"/>
              <w:jc w:val="both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Контрольная точка 2.1. «Разработка технического задания на выполнение работ»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57" w:hanging="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09.02.2024</w:t>
            </w:r>
          </w:p>
        </w:tc>
        <w:tc>
          <w:tcPr>
            <w:tcW w:w="3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57" w:hanging="0"/>
              <w:jc w:val="both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Браун Л.А., начальник отдела недропользования и горной промышленности Министерства природных ресурсов и экологии Камчатского края</w:t>
            </w:r>
          </w:p>
        </w:tc>
        <w:tc>
          <w:tcPr>
            <w:tcW w:w="22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57" w:hanging="0"/>
              <w:jc w:val="both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Техническое (геологическое) задание на выполнение работ по объекту: «Геологическое изучение недр в целях оценки и разведки месторождения строительного камня на участке недр местного значения «Сопка Придорожная», расположенном в Мильковском муниципальном районе Камчатского края»</w:t>
            </w:r>
          </w:p>
        </w:tc>
        <w:tc>
          <w:tcPr>
            <w:tcW w:w="2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57" w:hanging="0"/>
              <w:jc w:val="both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</w:r>
          </w:p>
        </w:tc>
      </w:tr>
      <w:tr>
        <w:trPr>
          <w:trHeight w:val="412" w:hRule="atLeast"/>
        </w:trPr>
        <w:tc>
          <w:tcPr>
            <w:tcW w:w="53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8" w:after="0"/>
              <w:ind w:left="170" w:hanging="0"/>
              <w:jc w:val="both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Контрольная точка 2.2. «Проведение процедуры закупки на выполнение работ»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57" w:hanging="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12.03.2024</w:t>
            </w:r>
          </w:p>
        </w:tc>
        <w:tc>
          <w:tcPr>
            <w:tcW w:w="3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57" w:hanging="0"/>
              <w:jc w:val="both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Сушенцова А.В., заместитель Министра — начальник отдела экономики и организационно-правового обеспечения Министерства природных ресурсов и экологии Камчатского края</w:t>
            </w:r>
          </w:p>
        </w:tc>
        <w:tc>
          <w:tcPr>
            <w:tcW w:w="22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57" w:hanging="0"/>
              <w:jc w:val="both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Извещение</w:t>
            </w:r>
          </w:p>
        </w:tc>
        <w:tc>
          <w:tcPr>
            <w:tcW w:w="2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57" w:hanging="0"/>
              <w:jc w:val="both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Единая информационная система в сфере закупок (ЕИС Закупки)</w:t>
            </w:r>
          </w:p>
        </w:tc>
      </w:tr>
      <w:tr>
        <w:trPr>
          <w:trHeight w:val="412" w:hRule="atLeast"/>
        </w:trPr>
        <w:tc>
          <w:tcPr>
            <w:tcW w:w="53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8" w:after="0"/>
              <w:ind w:left="170" w:hanging="0"/>
              <w:jc w:val="both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Контрольная точка 2.3. «Заключение государственного контракта на выполнение работ»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57" w:hanging="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14.05.2024</w:t>
            </w:r>
          </w:p>
        </w:tc>
        <w:tc>
          <w:tcPr>
            <w:tcW w:w="3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57" w:hanging="0"/>
              <w:jc w:val="both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Сушенцова А.В., заместитель Министра — начальник отдела экономики и организационно-правового обеспечения Министерства природных ресурсов и экологии Камчатского края</w:t>
            </w:r>
          </w:p>
        </w:tc>
        <w:tc>
          <w:tcPr>
            <w:tcW w:w="22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57" w:hanging="0"/>
              <w:jc w:val="both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Государственный контракт на выполнение работ по объекту: «Геологическое изучение недр в целях оценки и разведки месторождения строительного камня на участке недр местного значения «Сопка Придорожная», расположенном в Мильковском муниципальном районе Камчатского края»</w:t>
            </w:r>
          </w:p>
        </w:tc>
        <w:tc>
          <w:tcPr>
            <w:tcW w:w="2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57" w:hanging="0"/>
              <w:jc w:val="both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Единая информационная система в сфере закупок (ЕИС Закупки)</w:t>
            </w:r>
          </w:p>
        </w:tc>
      </w:tr>
      <w:tr>
        <w:trPr>
          <w:trHeight w:val="412" w:hRule="atLeast"/>
        </w:trPr>
        <w:tc>
          <w:tcPr>
            <w:tcW w:w="53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8" w:after="0"/>
              <w:ind w:left="170" w:hanging="0"/>
              <w:jc w:val="both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Контрольная точка 2.4. «Выполнение 1 этапа работ (подготовительные работы) в рамках государственного контракта»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57" w:hanging="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31.08.2024</w:t>
            </w:r>
          </w:p>
        </w:tc>
        <w:tc>
          <w:tcPr>
            <w:tcW w:w="3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57" w:hanging="0"/>
              <w:jc w:val="both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Браун Л.А., начальник отдела недропользования и горной промышленности Министерства природных ресурсов и экологии Камчатского края</w:t>
            </w:r>
            <w:bookmarkStart w:id="0" w:name="_GoBack"/>
            <w:bookmarkEnd w:id="0"/>
          </w:p>
        </w:tc>
        <w:tc>
          <w:tcPr>
            <w:tcW w:w="22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57" w:hanging="0"/>
              <w:jc w:val="both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Информационный отчёт по результатам работ первого этапа</w:t>
            </w:r>
          </w:p>
        </w:tc>
        <w:tc>
          <w:tcPr>
            <w:tcW w:w="2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57" w:hanging="0"/>
              <w:jc w:val="both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orient="landscape" w:w="16838" w:h="11906"/>
      <w:pgMar w:left="850" w:right="567" w:gutter="0" w:header="0" w:top="1134" w:footer="0" w:bottom="567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Open Sans"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empora LGC Uni" w:hAnsi="Tempora LGC Uni" w:eastAsia="Tahoma" w:cs="Lohit Devanagari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empora LGC Uni" w:hAnsi="Tempora LGC Uni" w:eastAsia="Tahoma" w:cs="Lohit Devanagari"/>
      <w:color w:val="auto"/>
      <w:kern w:val="2"/>
      <w:sz w:val="24"/>
      <w:szCs w:val="24"/>
      <w:lang w:val="ru-RU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Hyperlink"/>
    <w:rPr>
      <w:color w:val="000080"/>
      <w:u w:val="single"/>
    </w:rPr>
  </w:style>
  <w:style w:type="character" w:styleId="Style15" w:customStyle="1">
    <w:name w:val="Символ сноски"/>
    <w:qFormat/>
    <w:rPr>
      <w:vertAlign w:val="superscript"/>
    </w:rPr>
  </w:style>
  <w:style w:type="character" w:styleId="Style16">
    <w:name w:val="Footnote Reference"/>
    <w:rPr>
      <w:vertAlign w:val="superscript"/>
    </w:rPr>
  </w:style>
  <w:style w:type="character" w:styleId="Style17" w:customStyle="1">
    <w:name w:val="Текст примечания Знак"/>
    <w:basedOn w:val="DefaultParagraphFont"/>
    <w:link w:val="Annotationtext"/>
    <w:uiPriority w:val="99"/>
    <w:semiHidden/>
    <w:qFormat/>
    <w:rPr>
      <w:rFonts w:cs="Mangal"/>
      <w:sz w:val="20"/>
      <w:szCs w:val="18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character" w:styleId="Style18" w:customStyle="1">
    <w:name w:val="Текст выноски Знак"/>
    <w:basedOn w:val="DefaultParagraphFont"/>
    <w:link w:val="BalloonText"/>
    <w:uiPriority w:val="99"/>
    <w:semiHidden/>
    <w:qFormat/>
    <w:rsid w:val="00e56638"/>
    <w:rPr>
      <w:rFonts w:ascii="Segoe UI" w:hAnsi="Segoe UI" w:cs="Mangal"/>
      <w:sz w:val="18"/>
      <w:szCs w:val="16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0">
    <w:name w:val="Body Text"/>
    <w:basedOn w:val="Normal"/>
    <w:pPr>
      <w:spacing w:lineRule="exact" w:line="28"/>
    </w:pPr>
    <w:rPr/>
  </w:style>
  <w:style w:type="paragraph" w:styleId="Style21">
    <w:name w:val="List"/>
    <w:basedOn w:val="Style20"/>
    <w:pPr/>
    <w:rPr/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Arial"/>
    </w:rPr>
  </w:style>
  <w:style w:type="paragraph" w:styleId="Style24">
    <w:name w:val="Title"/>
    <w:basedOn w:val="Normal"/>
    <w:next w:val="Style20"/>
    <w:qFormat/>
    <w:pPr>
      <w:keepNext w:val="true"/>
      <w:spacing w:before="240" w:after="120"/>
    </w:pPr>
    <w:rPr>
      <w:rFonts w:ascii="Open Sans" w:hAnsi="Open Sans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Indexheading">
    <w:name w:val="index heading"/>
    <w:basedOn w:val="Normal"/>
    <w:qFormat/>
    <w:pPr>
      <w:suppressLineNumbers/>
    </w:pPr>
    <w:rPr/>
  </w:style>
  <w:style w:type="paragraph" w:styleId="Style25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26" w:customStyle="1">
    <w:name w:val="Заголовок таблицы"/>
    <w:basedOn w:val="Style25"/>
    <w:qFormat/>
    <w:pPr>
      <w:jc w:val="center"/>
    </w:pPr>
    <w:rPr>
      <w:b/>
      <w:bCs/>
    </w:rPr>
  </w:style>
  <w:style w:type="paragraph" w:styleId="ListParagraph">
    <w:name w:val="List Paragraph"/>
    <w:basedOn w:val="Normal"/>
    <w:qFormat/>
    <w:pPr>
      <w:spacing w:before="75" w:after="0"/>
      <w:ind w:left="603" w:hanging="202"/>
    </w:pPr>
    <w:rPr>
      <w:rFonts w:ascii="Times New Roman" w:hAnsi="Times New Roman"/>
    </w:rPr>
  </w:style>
  <w:style w:type="paragraph" w:styleId="TableParagraph" w:customStyle="1">
    <w:name w:val="Table Paragraph"/>
    <w:basedOn w:val="Normal"/>
    <w:qFormat/>
    <w:pPr/>
    <w:rPr>
      <w:rFonts w:ascii="Times New Roman" w:hAnsi="Times New Roman"/>
    </w:rPr>
  </w:style>
  <w:style w:type="paragraph" w:styleId="Style27">
    <w:name w:val="Footnote Text"/>
    <w:basedOn w:val="Normal"/>
    <w:pPr>
      <w:suppressLineNumbers/>
      <w:ind w:left="340" w:hanging="340"/>
    </w:pPr>
    <w:rPr>
      <w:sz w:val="20"/>
      <w:szCs w:val="20"/>
    </w:rPr>
  </w:style>
  <w:style w:type="paragraph" w:styleId="Annotationtext">
    <w:name w:val="annotation text"/>
    <w:basedOn w:val="Normal"/>
    <w:link w:val="Style17"/>
    <w:uiPriority w:val="99"/>
    <w:semiHidden/>
    <w:unhideWhenUsed/>
    <w:qFormat/>
    <w:pPr/>
    <w:rPr>
      <w:rFonts w:cs="Mangal"/>
      <w:sz w:val="20"/>
      <w:szCs w:val="18"/>
    </w:rPr>
  </w:style>
  <w:style w:type="paragraph" w:styleId="BalloonText">
    <w:name w:val="Balloon Text"/>
    <w:basedOn w:val="Normal"/>
    <w:link w:val="Style18"/>
    <w:uiPriority w:val="99"/>
    <w:semiHidden/>
    <w:unhideWhenUsed/>
    <w:qFormat/>
    <w:rsid w:val="00e56638"/>
    <w:pPr/>
    <w:rPr>
      <w:rFonts w:ascii="Segoe UI" w:hAnsi="Segoe UI" w:cs="Mangal"/>
      <w:sz w:val="18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Application>LibreOffice/7.4.4.2$Linux_X86_64 LibreOffice_project/40$Build-2</Application>
  <AppVersion>15.0000</AppVersion>
  <Pages>16</Pages>
  <Words>1200</Words>
  <Characters>8866</Characters>
  <CharactersWithSpaces>9859</CharactersWithSpaces>
  <Paragraphs>213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2023-11-24T00:59:00Z</dcterms:created>
  <dc:creator>Сушенцова Анна Владимировна</dc:creator>
  <dc:description/>
  <dc:language>ru-RU</dc:language>
  <cp:lastModifiedBy/>
  <cp:lastPrinted>2023-11-24T00:57:00Z</cp:lastPrinted>
  <dcterms:modified xsi:type="dcterms:W3CDTF">2023-12-14T13:51:28Z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