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12.10.2012 № 466-П «О предоставлении мер социальной поддержки многодетным семьям, проживающим в Камчатском крае»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от </w:t>
      </w:r>
      <w:r>
        <w:rPr>
          <w:rFonts w:ascii="Times New Roman" w:hAnsi="Times New Roman"/>
          <w:b w:val="0"/>
          <w:sz w:val="28"/>
        </w:rPr>
        <w:t>12.10.2012 № 466-П «О предоставлении мер социальной поддержки многодетным семьям, проживающим в Камчатском крае»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часть 1 дополнить пунктом 5 следующего содержания: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«5) компенсация стоимости обучения за семестр в краевых государственных профессиональных образовательных организациях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 в сл</w:t>
      </w:r>
      <w:r>
        <w:rPr>
          <w:rFonts w:ascii="Times New Roman" w:hAnsi="Times New Roman"/>
          <w:b w:val="0"/>
          <w:sz w:val="28"/>
        </w:rPr>
        <w:t>учаях и размерах, установленных пунктом 9 части 1 статьи 6 Закона Камчатского края от 16.12.2009 № 352 «О мерах социальной поддержки многодетных семей в Камчатском крае».»;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части 3 дополнить абзацем третьим следующего содержания: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«Порядок предоставления меры социальной поддержки, предусмотренной пунктом 5 части 1 настоящего постановления, определяется нормативным правовым актом Министерства образования Камчатского края.».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Настоящее постановление вступает в силу с 1 сентября 2025 года.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</w:p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</w:p>
          <w:p w14:paraId="21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2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4"/>
              </w:rPr>
            </w:pPr>
          </w:p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4"/>
              </w:rPr>
            </w:pPr>
          </w:p>
          <w:p w14:paraId="2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4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7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footer"/>
    <w:basedOn w:val="Style_2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footer"/>
    <w:basedOn w:val="Style_2_ch"/>
    <w:link w:val="Style_5"/>
    <w:rPr>
      <w:rFonts w:ascii="Times New Roman" w:hAnsi="Times New Roman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2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2_ch"/>
    <w:link w:val="Style_13"/>
    <w:rPr>
      <w:rFonts w:ascii="Segoe UI" w:hAnsi="Segoe UI"/>
      <w:sz w:val="18"/>
    </w:rPr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er"/>
    <w:basedOn w:val="Style_2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2_ch"/>
    <w:link w:val="Style_15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Plain Text"/>
    <w:basedOn w:val="Style_2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Plain Text"/>
    <w:basedOn w:val="Style_2_ch"/>
    <w:link w:val="Style_18"/>
    <w:rPr>
      <w:rFonts w:ascii="Calibri" w:hAnsi="Calibri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2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8"/>
    <w:next w:val="Style_2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2024-10-15T03:20:16Z</dcterms:modified>
</cp:coreProperties>
</file>