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изменений в постановление Правительства Камчатского края от 25.10.2016 № 416-П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организациях в Камчатском крае, реализующих образовательную программу дошкольного образования»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Правительства Камчатского края от 25.10.2016 № 416-П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организациях в Камчатском крае, реализующих образовательную программу дошкольного образования» изменения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возникающие с 1 января 2024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899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80"/>
        <w:gridCol w:w="482"/>
        <w:gridCol w:w="3661"/>
        <w:gridCol w:w="480"/>
        <w:gridCol w:w="1872"/>
        <w:gridCol w:w="486"/>
        <w:gridCol w:w="1697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color w:val="auto"/>
          <w:sz w:val="28"/>
        </w:rPr>
      </w:pPr>
      <w:r>
        <w:rPr>
          <w:rFonts w:cs="Arial" w:ascii="Times New Roman" w:hAnsi="Times New Roman"/>
          <w:color w:val="auto"/>
          <w:sz w:val="28"/>
        </w:rPr>
      </w:r>
    </w:p>
    <w:tbl>
      <w:tblPr>
        <w:tblStyle w:val="a3"/>
        <w:tblW w:w="4530" w:type="dxa"/>
        <w:jc w:val="left"/>
        <w:tblInd w:w="5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0"/>
      </w:tblGrid>
      <w:tr>
        <w:trPr>
          <w:trHeight w:val="1065" w:hRule="atLeast"/>
        </w:trPr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-108" w:hanging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«Приложение к п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остановлению Правительства Камчатского края от 25.10.2016 № 416-П</w:t>
            </w:r>
          </w:p>
        </w:tc>
      </w:tr>
    </w:tbl>
    <w:p>
      <w:pPr>
        <w:pStyle w:val="1"/>
        <w:spacing w:lineRule="auto" w:line="240" w:before="0" w:after="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1"/>
        <w:spacing w:lineRule="auto" w:line="240" w:before="0" w:after="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</w:rPr>
      </w:pPr>
      <w:bookmarkStart w:id="2" w:name="P50"/>
      <w:bookmarkEnd w:id="2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Максимальный размер платы,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взимаемой с родителей (законных представителей)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за присмотр и уход за детьми в государственных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 муниципальных образовательных организациях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Камчатском крае, реализующих образовательную программу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дошкольного образования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(далее - максимальный размер родительской платы)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9519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20"/>
        <w:gridCol w:w="5980"/>
        <w:gridCol w:w="2919"/>
      </w:tblGrid>
      <w:tr>
        <w:trPr>
          <w:trHeight w:val="146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№</w:t>
            </w:r>
          </w:p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п/п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Наименование муниципального образования в Камчатском крае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Максимальный размер родительской платы за один день пребывания в образовательной организации (рублей)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3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Петропавловск-Камчатский городской округ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272,31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Вилючинский городской округ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212,61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3.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Елизовский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231,45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4.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Усть-Большерецкий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206,28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5.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Мильковский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248,09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6.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Быстринский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96,28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7.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Соболевский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256,13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8.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Усть-Камчатский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252,65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9.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Алеутский муниципальный округ в Камчатском крае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171,92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10.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Городской округ «Палана»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226,91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11.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Тигильский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275,81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12.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Карагинский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261,29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13.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Олюторский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Cs w:val="24"/>
              </w:rPr>
              <w:t>365,33</w:t>
            </w:r>
          </w:p>
        </w:tc>
      </w:tr>
      <w:tr>
        <w:trPr>
          <w:trHeight w:val="454" w:hRule="exac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ind w:left="-4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iCs w:val="false"/>
                <w:szCs w:val="24"/>
              </w:rPr>
              <w:t>14.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iCs w:val="false"/>
                <w:szCs w:val="24"/>
              </w:rPr>
              <w:t>Пенжинский муниципальный район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iCs w:val="false"/>
                <w:szCs w:val="24"/>
              </w:rPr>
              <w:t>269,55</w:t>
            </w:r>
          </w:p>
        </w:tc>
      </w:tr>
    </w:tbl>
    <w:p>
      <w:pPr>
        <w:pStyle w:val="Normal"/>
        <w:spacing w:before="0" w:after="160"/>
        <w:jc w:val="right"/>
        <w:rPr>
          <w:rFonts w:ascii="Times New Roman" w:hAnsi="Times New Roman"/>
          <w:sz w:val="24"/>
          <w:szCs w:val="28"/>
        </w:rPr>
      </w:pPr>
      <w:r>
        <w:rPr>
          <w:rFonts w:asciiTheme="minorHAnsi" w:hAnsiTheme="minorHAnsi"/>
          <w:sz w:val="24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8"/>
          <w:shd w:fill="auto" w:val="clear"/>
        </w:rPr>
        <w:t>».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851" w:gutter="0" w:header="709" w:top="1135" w:footer="709" w:bottom="1135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rPr>
      <w:color w:val="0563C1" w:themeColor="hyperlink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CharStyle16" w:customStyle="1">
    <w:name w:val="Char Style 16"/>
    <w:uiPriority w:val="99"/>
    <w:qFormat/>
    <w:rPr>
      <w:sz w:val="26"/>
      <w:szCs w:val="26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23">
    <w:name w:val="Index Heading"/>
    <w:basedOn w:val="Style16"/>
    <w:pPr/>
    <w:rPr/>
  </w:style>
  <w:style w:type="paragraph" w:styleId="Style24">
    <w:name w:val="TOC Heading"/>
    <w:uiPriority w:val="39"/>
    <w:unhideWhenUsed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23">
    <w:name w:val="TOC 2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5" w:customStyle="1">
    <w:name w:val="Колонтитул"/>
    <w:qFormat/>
    <w:pPr>
      <w:widowControl/>
      <w:suppressAutoHyphens w:val="true"/>
      <w:bidi w:val="0"/>
      <w:spacing w:lineRule="auto" w:line="240" w:beforeAutospacing="0" w:before="0" w:afterAutospacing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2">
    <w:name w:val="TOC 6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2">
    <w:name w:val="TOC 7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qFormat/>
    <w:pPr>
      <w:widowControl/>
      <w:suppressAutoHyphens w:val="true"/>
      <w:bidi w:val="0"/>
      <w:spacing w:lineRule="auto" w:line="264" w:beforeAutospacing="0" w:before="0" w:afterAutospacing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uiPriority w:val="39"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2">
    <w:name w:val="TOC 9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2">
    <w:name w:val="TOC 8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7">
    <w:name w:val="Subtitle"/>
    <w:uiPriority w:val="11"/>
    <w:qFormat/>
    <w:pPr>
      <w:widowControl/>
      <w:suppressAutoHyphens w:val="true"/>
      <w:bidi w:val="0"/>
      <w:spacing w:lineRule="auto" w:line="264" w:beforeAutospacing="0" w:before="0" w:afterAutospacing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9">
    <w:name w:val="Title"/>
    <w:uiPriority w:val="10"/>
    <w:qFormat/>
    <w:pPr>
      <w:widowControl/>
      <w:suppressAutoHyphens w:val="true"/>
      <w:bidi w:val="0"/>
      <w:spacing w:lineRule="auto" w:line="264" w:beforeAutospacing="0" w:before="567" w:afterAutospacing="0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paragraph" w:styleId="Style30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Style31">
    <w:name w:val="Прижатый влево"/>
    <w:basedOn w:val="Normal"/>
    <w:next w:val="Normal"/>
    <w:qFormat/>
    <w:pPr/>
    <w:rPr>
      <w:rFonts w:ascii="Arial" w:hAnsi="Arial" w:cs="Arial"/>
      <w:sz w:val="24"/>
      <w:lang w:eastAsia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LibreOffice/7.4.4.2$Linux_X86_64 LibreOffice_project/40$Build-2</Application>
  <AppVersion>15.0000</AppVersion>
  <Pages>2</Pages>
  <Words>297</Words>
  <Characters>2122</Characters>
  <CharactersWithSpaces>2348</CharactersWithSpaces>
  <Paragraphs>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2023-06-22T04:58:00Z</dcterms:created>
  <dc:creator>Чернов Александр Леонидович</dc:creator>
  <dc:description/>
  <dc:language>ru-RU</dc:language>
  <cp:lastModifiedBy/>
  <dcterms:modified xsi:type="dcterms:W3CDTF">2023-11-21T13:57:58Z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