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EC2" w:rsidRDefault="00EE1BEB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0EC2" w:rsidRDefault="004E0EC2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4E0EC2" w:rsidRDefault="004E0EC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E0EC2" w:rsidRDefault="004E0EC2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4E0EC2" w:rsidRDefault="00EE1BE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4E0EC2" w:rsidRDefault="004E0EC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E0EC2" w:rsidRDefault="00EE1BE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4E0EC2" w:rsidRDefault="00EE1BE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4E0EC2" w:rsidRDefault="004E0EC2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:rsidR="004E0EC2" w:rsidRDefault="004E0EC2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4E0EC2" w:rsidRDefault="00EE1BEB">
      <w:pPr>
        <w:spacing w:after="0" w:line="240" w:lineRule="auto"/>
        <w:ind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0"/>
    </w:p>
    <w:p w:rsidR="004E0EC2" w:rsidRDefault="004E0EC2">
      <w:pPr>
        <w:spacing w:after="0" w:line="240" w:lineRule="auto"/>
        <w:ind w:right="5526"/>
        <w:jc w:val="center"/>
        <w:rPr>
          <w:rFonts w:ascii="Times New Roman" w:hAnsi="Times New Roman"/>
          <w:sz w:val="12"/>
        </w:rPr>
      </w:pPr>
    </w:p>
    <w:p w:rsidR="004E0EC2" w:rsidRDefault="00EE1BEB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4E0EC2" w:rsidRDefault="004E0E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395"/>
      </w:tblGrid>
      <w:tr w:rsidR="004E0EC2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EC2" w:rsidRDefault="00EE1BEB">
            <w:pPr>
              <w:ind w:left="-108" w:righ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       от 29.11.2013 № 532-П</w:t>
            </w:r>
          </w:p>
        </w:tc>
      </w:tr>
    </w:tbl>
    <w:p w:rsidR="004E0EC2" w:rsidRDefault="004E0E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E0EC2" w:rsidRDefault="004E0E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E0EC2" w:rsidRDefault="00EE1BE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4E0EC2" w:rsidRDefault="004E0E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E0EC2" w:rsidRDefault="00EE1BEB">
      <w:pPr>
        <w:widowControl w:val="0"/>
        <w:tabs>
          <w:tab w:val="left" w:pos="241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532-П, изменения согласно приложению к настоящему постановлению.</w:t>
      </w:r>
    </w:p>
    <w:p w:rsidR="004E0EC2" w:rsidRDefault="00EE1BEB">
      <w:pPr>
        <w:tabs>
          <w:tab w:val="left" w:pos="241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:rsidR="004E0EC2" w:rsidRDefault="004E0E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E0EC2" w:rsidRDefault="004E0EC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E0EC2" w:rsidRDefault="004E0EC2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4E0EC2" w:rsidRDefault="004E0EC2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992"/>
        <w:gridCol w:w="3969"/>
      </w:tblGrid>
      <w:tr w:rsidR="004E0EC2">
        <w:trPr>
          <w:trHeight w:val="1232"/>
        </w:trPr>
        <w:tc>
          <w:tcPr>
            <w:tcW w:w="4678" w:type="dxa"/>
            <w:shd w:val="clear" w:color="auto" w:fill="auto"/>
            <w:tcMar>
              <w:left w:w="0" w:type="dxa"/>
              <w:right w:w="0" w:type="dxa"/>
            </w:tcMar>
          </w:tcPr>
          <w:p w:rsidR="004E0EC2" w:rsidRDefault="00EE1BEB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:rsidR="004E0EC2" w:rsidRDefault="004E0EC2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shd w:val="clear" w:color="auto" w:fill="auto"/>
            <w:tcMar>
              <w:left w:w="0" w:type="dxa"/>
              <w:right w:w="0" w:type="dxa"/>
            </w:tcMar>
          </w:tcPr>
          <w:p w:rsidR="004E0EC2" w:rsidRDefault="004E0EC2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4E0EC2" w:rsidRDefault="00EE1BEB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 w:rsidR="004E0EC2" w:rsidRDefault="00EE1BEB">
      <w:pPr>
        <w:spacing w:after="0" w:line="240" w:lineRule="auto"/>
        <w:ind w:right="-116"/>
        <w:jc w:val="center"/>
        <w:rPr>
          <w:rFonts w:ascii="Times New Roman" w:hAnsi="Times New Roman"/>
          <w:color w:val="D9D9D9"/>
          <w:sz w:val="28"/>
        </w:rPr>
      </w:pPr>
      <w:bookmarkStart w:id="1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</w:p>
    <w:bookmarkEnd w:id="1"/>
    <w:p w:rsidR="004E0EC2" w:rsidRDefault="004E0EC2"/>
    <w:p w:rsidR="004E0EC2" w:rsidRDefault="004E0EC2"/>
    <w:p w:rsidR="004E0EC2" w:rsidRPr="00625536" w:rsidRDefault="00EE1BEB">
      <w:pPr>
        <w:ind w:left="5670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28"/>
        </w:rPr>
        <w:lastRenderedPageBreak/>
        <w:t xml:space="preserve">Приложение к постановлению Правительства Камчатского края от </w:t>
      </w:r>
      <w:r w:rsidRPr="00625536">
        <w:rPr>
          <w:rFonts w:ascii="Times New Roman" w:hAnsi="Times New Roman"/>
          <w:szCs w:val="22"/>
          <w:u w:val="single"/>
        </w:rPr>
        <w:t>[Дата регистрации] № [Номер документа]</w:t>
      </w:r>
    </w:p>
    <w:p w:rsidR="004E0EC2" w:rsidRDefault="004E0EC2">
      <w:pPr>
        <w:ind w:left="5670"/>
        <w:rPr>
          <w:rFonts w:ascii="Times New Roman" w:hAnsi="Times New Roman"/>
          <w:sz w:val="28"/>
        </w:rPr>
      </w:pPr>
    </w:p>
    <w:p w:rsidR="004E0EC2" w:rsidRDefault="00EE1BEB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 </w:t>
      </w:r>
    </w:p>
    <w:p w:rsidR="004E0EC2" w:rsidRDefault="00EE1BEB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 (далее – Программа)</w:t>
      </w:r>
    </w:p>
    <w:p w:rsidR="004313FE" w:rsidRPr="004313FE" w:rsidRDefault="004313FE" w:rsidP="005D4179">
      <w:pPr>
        <w:pStyle w:val="af1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kern w:val="28"/>
          <w:sz w:val="28"/>
          <w:szCs w:val="28"/>
        </w:rPr>
        <w:t>В паспорте</w:t>
      </w:r>
      <w:r w:rsidRPr="005D4179">
        <w:rPr>
          <w:rFonts w:ascii="Times New Roman" w:hAnsi="Times New Roman"/>
          <w:color w:val="auto"/>
          <w:kern w:val="28"/>
          <w:sz w:val="28"/>
          <w:szCs w:val="28"/>
        </w:rPr>
        <w:t xml:space="preserve"> подпрограммы 1 «Развитие дошкольного, общего образования и дополнительного образ</w:t>
      </w:r>
      <w:r>
        <w:rPr>
          <w:rFonts w:ascii="Times New Roman" w:hAnsi="Times New Roman"/>
          <w:color w:val="auto"/>
          <w:kern w:val="28"/>
          <w:sz w:val="28"/>
          <w:szCs w:val="28"/>
        </w:rPr>
        <w:t>ования детей в Камчатском крае»:</w:t>
      </w:r>
    </w:p>
    <w:p w:rsidR="005D4179" w:rsidRDefault="004313FE" w:rsidP="004313FE">
      <w:pPr>
        <w:pStyle w:val="af1"/>
        <w:spacing w:line="240" w:lineRule="auto"/>
        <w:ind w:left="0" w:firstLine="426"/>
        <w:jc w:val="both"/>
        <w:rPr>
          <w:rFonts w:ascii="Times New Roman" w:hAnsi="Times New Roman"/>
          <w:color w:val="auto"/>
          <w:kern w:val="28"/>
          <w:sz w:val="28"/>
          <w:szCs w:val="28"/>
        </w:rPr>
      </w:pPr>
      <w:r>
        <w:rPr>
          <w:rFonts w:ascii="Times New Roman" w:hAnsi="Times New Roman"/>
          <w:color w:val="auto"/>
          <w:kern w:val="28"/>
          <w:sz w:val="28"/>
          <w:szCs w:val="28"/>
        </w:rPr>
        <w:t>а)</w:t>
      </w:r>
      <w:r w:rsidRPr="003C3B03">
        <w:rPr>
          <w:rFonts w:ascii="Times New Roman" w:hAnsi="Times New Roman"/>
          <w:color w:val="auto"/>
          <w:kern w:val="28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kern w:val="28"/>
          <w:sz w:val="28"/>
          <w:szCs w:val="28"/>
        </w:rPr>
        <w:t>п</w:t>
      </w:r>
      <w:r w:rsidR="00E07097" w:rsidRPr="00E07097">
        <w:rPr>
          <w:rFonts w:ascii="Times New Roman" w:hAnsi="Times New Roman"/>
          <w:color w:val="auto"/>
          <w:kern w:val="28"/>
          <w:sz w:val="28"/>
          <w:szCs w:val="28"/>
        </w:rPr>
        <w:t xml:space="preserve">озицию «Целевые индикаторы и показатели Подпрограммы </w:t>
      </w:r>
      <w:r w:rsidRPr="00E07097">
        <w:rPr>
          <w:rFonts w:ascii="Times New Roman" w:hAnsi="Times New Roman"/>
          <w:color w:val="auto"/>
          <w:kern w:val="28"/>
          <w:sz w:val="28"/>
          <w:szCs w:val="28"/>
        </w:rPr>
        <w:t>1»</w:t>
      </w:r>
      <w:r>
        <w:rPr>
          <w:rFonts w:ascii="Times New Roman" w:hAnsi="Times New Roman"/>
          <w:color w:val="auto"/>
          <w:kern w:val="28"/>
          <w:sz w:val="28"/>
          <w:szCs w:val="28"/>
        </w:rPr>
        <w:t xml:space="preserve"> </w:t>
      </w:r>
      <w:r w:rsidRPr="004313FE">
        <w:rPr>
          <w:rFonts w:ascii="Times New Roman" w:hAnsi="Times New Roman"/>
          <w:color w:val="auto"/>
          <w:kern w:val="28"/>
          <w:sz w:val="28"/>
          <w:szCs w:val="28"/>
        </w:rPr>
        <w:t>дополнить</w:t>
      </w:r>
      <w:r w:rsidR="005D4179" w:rsidRPr="004313FE">
        <w:rPr>
          <w:rFonts w:ascii="Times New Roman" w:hAnsi="Times New Roman"/>
          <w:color w:val="auto"/>
          <w:kern w:val="28"/>
          <w:sz w:val="28"/>
          <w:szCs w:val="28"/>
        </w:rPr>
        <w:t xml:space="preserve"> пунктом 32 следующего содержания: «</w:t>
      </w:r>
      <w:r w:rsidR="003C3B03" w:rsidRPr="004313FE">
        <w:rPr>
          <w:rFonts w:ascii="Times New Roman" w:hAnsi="Times New Roman"/>
          <w:color w:val="auto"/>
          <w:kern w:val="28"/>
          <w:sz w:val="28"/>
          <w:szCs w:val="28"/>
        </w:rPr>
        <w:t xml:space="preserve">32) </w:t>
      </w:r>
      <w:r w:rsidR="005D4179" w:rsidRPr="004313FE">
        <w:rPr>
          <w:rFonts w:ascii="Times New Roman" w:hAnsi="Times New Roman"/>
          <w:color w:val="auto"/>
          <w:kern w:val="28"/>
          <w:sz w:val="28"/>
          <w:szCs w:val="28"/>
        </w:rPr>
        <w:t>Количество созданных модульных спортивных залов»</w:t>
      </w:r>
      <w:r w:rsidR="00E07097" w:rsidRPr="004313FE">
        <w:rPr>
          <w:rFonts w:ascii="Times New Roman" w:hAnsi="Times New Roman"/>
          <w:color w:val="auto"/>
          <w:kern w:val="28"/>
          <w:sz w:val="28"/>
          <w:szCs w:val="28"/>
        </w:rPr>
        <w:t>;</w:t>
      </w:r>
    </w:p>
    <w:p w:rsidR="004313FE" w:rsidRPr="004313FE" w:rsidRDefault="004313FE" w:rsidP="004313FE">
      <w:pPr>
        <w:pStyle w:val="af1"/>
        <w:spacing w:line="24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kern w:val="28"/>
          <w:sz w:val="28"/>
          <w:szCs w:val="28"/>
        </w:rPr>
        <w:t xml:space="preserve">б) позицию «Ожидаемые результаты реализации Подпрограммы 1» дополнить пунктом 15 </w:t>
      </w:r>
      <w:r w:rsidRPr="004313FE">
        <w:rPr>
          <w:rFonts w:ascii="Times New Roman" w:hAnsi="Times New Roman"/>
          <w:color w:val="auto"/>
          <w:kern w:val="28"/>
          <w:sz w:val="28"/>
          <w:szCs w:val="28"/>
        </w:rPr>
        <w:t>следующего содержания:</w:t>
      </w:r>
      <w:r>
        <w:rPr>
          <w:rFonts w:ascii="Times New Roman" w:hAnsi="Times New Roman"/>
          <w:color w:val="auto"/>
          <w:kern w:val="28"/>
          <w:sz w:val="28"/>
          <w:szCs w:val="28"/>
        </w:rPr>
        <w:t xml:space="preserve"> «15) Обеспечение создания модульных спортивных залов».</w:t>
      </w:r>
    </w:p>
    <w:p w:rsidR="00621263" w:rsidRDefault="004313FE" w:rsidP="00955267">
      <w:pPr>
        <w:pStyle w:val="af1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/>
          <w:sz w:val="28"/>
        </w:rPr>
      </w:pPr>
      <w:r w:rsidRPr="00621263">
        <w:rPr>
          <w:rFonts w:ascii="Times New Roman" w:hAnsi="Times New Roman"/>
          <w:sz w:val="28"/>
        </w:rPr>
        <w:t>В паспорте подпрограммы 2 «Развитие профессионального образования в Камчатском крае»</w:t>
      </w:r>
      <w:r w:rsidR="00D5561B" w:rsidRPr="00621263">
        <w:rPr>
          <w:rFonts w:ascii="Times New Roman" w:hAnsi="Times New Roman"/>
          <w:sz w:val="28"/>
        </w:rPr>
        <w:t>:</w:t>
      </w:r>
    </w:p>
    <w:p w:rsidR="00621263" w:rsidRPr="00621263" w:rsidRDefault="00621263" w:rsidP="00621263">
      <w:pPr>
        <w:pStyle w:val="af1"/>
        <w:spacing w:line="24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позицию «Иные участники подпрограммы 2 паспорта дополнить пунктом 3 следующего содержания: </w:t>
      </w:r>
      <w:r w:rsidRPr="00621263">
        <w:rPr>
          <w:rFonts w:ascii="Times New Roman" w:hAnsi="Times New Roman"/>
          <w:sz w:val="28"/>
        </w:rPr>
        <w:t xml:space="preserve">«3) </w:t>
      </w:r>
      <w:r w:rsidRPr="00621263">
        <w:rPr>
          <w:rFonts w:ascii="Times New Roman" w:hAnsi="Times New Roman"/>
          <w:sz w:val="28"/>
          <w:szCs w:val="28"/>
        </w:rPr>
        <w:t>органы местного самоуправления муниципальных образований в Камчатском крае (по согласованию).»</w:t>
      </w:r>
      <w:r>
        <w:rPr>
          <w:rFonts w:ascii="Times New Roman" w:hAnsi="Times New Roman"/>
          <w:sz w:val="28"/>
          <w:szCs w:val="28"/>
        </w:rPr>
        <w:t>;</w:t>
      </w:r>
    </w:p>
    <w:p w:rsidR="00E07097" w:rsidRPr="00621263" w:rsidRDefault="00621263" w:rsidP="00621263">
      <w:pPr>
        <w:pStyle w:val="af1"/>
        <w:spacing w:line="24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 w:rsidR="004313FE" w:rsidRPr="00621263">
        <w:rPr>
          <w:rFonts w:ascii="Times New Roman" w:hAnsi="Times New Roman"/>
          <w:sz w:val="28"/>
        </w:rPr>
        <w:t>) п</w:t>
      </w:r>
      <w:r w:rsidR="00E07097" w:rsidRPr="00621263">
        <w:rPr>
          <w:rFonts w:ascii="Times New Roman" w:hAnsi="Times New Roman"/>
          <w:sz w:val="28"/>
        </w:rPr>
        <w:t xml:space="preserve">озицию «Целевые индикаторы и показатели Подпрограммы 2» </w:t>
      </w:r>
      <w:r w:rsidR="00E22844" w:rsidRPr="00621263">
        <w:rPr>
          <w:rFonts w:ascii="Times New Roman" w:hAnsi="Times New Roman"/>
          <w:sz w:val="28"/>
        </w:rPr>
        <w:t>дополнить пунктом 25 следующего содержания: «25) Количество выполненных мероприятий Плана социального развития центров экономического роста Камчатского края (разработка архитектурно-планировочных решений и формирование земельного участка по объекту «Кампус для обучающихся образовательных организаций высшего образования и профессиональных образовательных организаций, расположенных в Петропавловск-Камчатском городском округе)</w:t>
      </w:r>
      <w:r w:rsidR="00052F78" w:rsidRPr="00621263">
        <w:rPr>
          <w:rFonts w:ascii="Times New Roman" w:hAnsi="Times New Roman"/>
          <w:sz w:val="28"/>
        </w:rPr>
        <w:t>»;</w:t>
      </w:r>
    </w:p>
    <w:p w:rsidR="0092705B" w:rsidRPr="00621263" w:rsidRDefault="00621263" w:rsidP="00621263">
      <w:pPr>
        <w:pStyle w:val="af1"/>
        <w:spacing w:line="24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4313FE">
        <w:rPr>
          <w:rFonts w:ascii="Times New Roman" w:hAnsi="Times New Roman"/>
          <w:sz w:val="28"/>
        </w:rPr>
        <w:t xml:space="preserve">) </w:t>
      </w:r>
      <w:r w:rsidR="004313FE" w:rsidRPr="004313FE">
        <w:rPr>
          <w:rFonts w:ascii="Times New Roman" w:hAnsi="Times New Roman"/>
          <w:sz w:val="28"/>
        </w:rPr>
        <w:t>позицию «Ожидаемые резу</w:t>
      </w:r>
      <w:r w:rsidR="004313FE">
        <w:rPr>
          <w:rFonts w:ascii="Times New Roman" w:hAnsi="Times New Roman"/>
          <w:sz w:val="28"/>
        </w:rPr>
        <w:t>льтаты реализации Подпрограммы 2» дополнить пунктом 12</w:t>
      </w:r>
      <w:r w:rsidR="004313FE" w:rsidRPr="004313FE">
        <w:rPr>
          <w:rFonts w:ascii="Times New Roman" w:hAnsi="Times New Roman"/>
          <w:sz w:val="28"/>
        </w:rPr>
        <w:t xml:space="preserve"> </w:t>
      </w:r>
      <w:r w:rsidR="005D4179" w:rsidRPr="004313FE">
        <w:rPr>
          <w:rFonts w:ascii="Times New Roman" w:hAnsi="Times New Roman"/>
          <w:sz w:val="28"/>
        </w:rPr>
        <w:t>следующего содержания:</w:t>
      </w:r>
      <w:r w:rsidR="004313FE">
        <w:rPr>
          <w:rFonts w:ascii="Times New Roman" w:hAnsi="Times New Roman"/>
          <w:sz w:val="28"/>
        </w:rPr>
        <w:t xml:space="preserve"> «12) Обеспечение реализации </w:t>
      </w:r>
      <w:r w:rsidR="004313FE" w:rsidRPr="004313FE">
        <w:rPr>
          <w:rFonts w:ascii="Times New Roman" w:hAnsi="Times New Roman"/>
          <w:sz w:val="28"/>
        </w:rPr>
        <w:t>мероприятий Плана социального развития центров экономического роста Камчатского края (разработка архитектурно-планировочных решений и формирование земельного участка по объекту «Кампус для обучающихся образовательных организаций высшего образования и профессиональных образовательных организаций, расположенных в Петропавловск-Камчатском городском округе)</w:t>
      </w:r>
      <w:r w:rsidR="004313FE">
        <w:rPr>
          <w:rFonts w:ascii="Times New Roman" w:hAnsi="Times New Roman"/>
          <w:sz w:val="28"/>
        </w:rPr>
        <w:t>.</w:t>
      </w:r>
    </w:p>
    <w:p w:rsidR="0092705B" w:rsidRDefault="0092705B" w:rsidP="009C7A1B">
      <w:pPr>
        <w:pStyle w:val="af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2705B">
        <w:rPr>
          <w:rFonts w:ascii="Times New Roman" w:hAnsi="Times New Roman"/>
          <w:sz w:val="28"/>
          <w:szCs w:val="28"/>
        </w:rPr>
        <w:t>Часть 2 «Обобщенная характеристика основных мероприятий, реализуемых органами местного самоуправления муниципальных образований в Камчатском крае»</w:t>
      </w:r>
      <w:r w:rsidR="008F37CC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рограммы</w:t>
      </w:r>
      <w:r w:rsidRPr="0092705B">
        <w:rPr>
          <w:rFonts w:ascii="Times New Roman" w:hAnsi="Times New Roman"/>
          <w:sz w:val="28"/>
          <w:szCs w:val="28"/>
        </w:rPr>
        <w:t xml:space="preserve"> дополнить пунктом 5 следующего содержания: </w:t>
      </w:r>
      <w:r w:rsidRPr="009C7A1B">
        <w:rPr>
          <w:rFonts w:ascii="Times New Roman" w:hAnsi="Times New Roman"/>
          <w:sz w:val="28"/>
          <w:szCs w:val="28"/>
        </w:rPr>
        <w:t>«5) основного мероприятия 2.7 «Модернизация инфраструктуры системы профессионального образования</w:t>
      </w:r>
      <w:r w:rsidR="008F37CC" w:rsidRPr="009C7A1B">
        <w:rPr>
          <w:rFonts w:ascii="Times New Roman" w:hAnsi="Times New Roman"/>
          <w:sz w:val="28"/>
          <w:szCs w:val="28"/>
        </w:rPr>
        <w:t>.</w:t>
      </w:r>
      <w:r w:rsidRPr="009C7A1B">
        <w:rPr>
          <w:rFonts w:ascii="Times New Roman" w:hAnsi="Times New Roman"/>
          <w:sz w:val="28"/>
          <w:szCs w:val="28"/>
        </w:rPr>
        <w:t xml:space="preserve">»; </w:t>
      </w:r>
    </w:p>
    <w:p w:rsidR="00822853" w:rsidRPr="00CC2842" w:rsidRDefault="006E3962" w:rsidP="00CC2842">
      <w:pPr>
        <w:pStyle w:val="af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C2842">
        <w:rPr>
          <w:rFonts w:ascii="Times New Roman" w:hAnsi="Times New Roman"/>
          <w:color w:val="auto"/>
          <w:sz w:val="28"/>
          <w:szCs w:val="28"/>
        </w:rPr>
        <w:lastRenderedPageBreak/>
        <w:t xml:space="preserve">Таблицу </w:t>
      </w:r>
      <w:r w:rsidR="00822853" w:rsidRPr="00CC2842">
        <w:rPr>
          <w:rFonts w:ascii="Times New Roman" w:hAnsi="Times New Roman"/>
          <w:color w:val="auto"/>
          <w:sz w:val="28"/>
          <w:szCs w:val="28"/>
        </w:rPr>
        <w:t>приложения 1 к Программе:</w:t>
      </w:r>
    </w:p>
    <w:p w:rsidR="00822853" w:rsidRPr="00822853" w:rsidRDefault="00822853" w:rsidP="0082285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822853">
        <w:rPr>
          <w:rFonts w:ascii="Times New Roman" w:hAnsi="Times New Roman"/>
          <w:color w:val="auto"/>
          <w:sz w:val="28"/>
          <w:szCs w:val="28"/>
        </w:rPr>
        <w:t>1) дополнить строкой</w:t>
      </w:r>
      <w:r>
        <w:rPr>
          <w:rFonts w:ascii="Times New Roman" w:hAnsi="Times New Roman"/>
          <w:color w:val="auto"/>
          <w:sz w:val="28"/>
          <w:szCs w:val="28"/>
        </w:rPr>
        <w:t xml:space="preserve"> 1.32</w:t>
      </w:r>
      <w:r w:rsidRPr="00822853">
        <w:rPr>
          <w:rFonts w:ascii="Times New Roman" w:hAnsi="Times New Roman"/>
          <w:color w:val="auto"/>
          <w:sz w:val="28"/>
          <w:szCs w:val="28"/>
        </w:rPr>
        <w:t xml:space="preserve"> следующего содержания:</w:t>
      </w:r>
    </w:p>
    <w:p w:rsidR="00822853" w:rsidRPr="00822853" w:rsidRDefault="00822853" w:rsidP="008228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2853">
        <w:rPr>
          <w:rFonts w:ascii="Times New Roman" w:hAnsi="Times New Roman"/>
          <w:color w:val="auto"/>
          <w:sz w:val="28"/>
          <w:szCs w:val="28"/>
        </w:rPr>
        <w:t>«</w:t>
      </w:r>
    </w:p>
    <w:tbl>
      <w:tblPr>
        <w:tblStyle w:val="3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993"/>
        <w:gridCol w:w="425"/>
        <w:gridCol w:w="567"/>
        <w:gridCol w:w="567"/>
        <w:gridCol w:w="425"/>
        <w:gridCol w:w="425"/>
        <w:gridCol w:w="567"/>
        <w:gridCol w:w="426"/>
        <w:gridCol w:w="425"/>
        <w:gridCol w:w="567"/>
        <w:gridCol w:w="425"/>
        <w:gridCol w:w="477"/>
        <w:gridCol w:w="508"/>
      </w:tblGrid>
      <w:tr w:rsidR="001045C6" w:rsidRPr="00822853" w:rsidTr="001045C6">
        <w:trPr>
          <w:jc w:val="center"/>
        </w:trPr>
        <w:tc>
          <w:tcPr>
            <w:tcW w:w="704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1.3</w:t>
            </w:r>
            <w:r>
              <w:rPr>
                <w:sz w:val="24"/>
                <w:szCs w:val="24"/>
              </w:rPr>
              <w:t>2</w:t>
            </w:r>
            <w:r w:rsidRPr="0082285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Количество созданных модульных спортивных залов</w:t>
            </w:r>
          </w:p>
        </w:tc>
        <w:tc>
          <w:tcPr>
            <w:tcW w:w="993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единиц</w:t>
            </w:r>
          </w:p>
        </w:tc>
        <w:tc>
          <w:tcPr>
            <w:tcW w:w="425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426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1</w:t>
            </w:r>
          </w:p>
        </w:tc>
        <w:tc>
          <w:tcPr>
            <w:tcW w:w="477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8" w:type="dxa"/>
            <w:vAlign w:val="center"/>
          </w:tcPr>
          <w:p w:rsidR="00822853" w:rsidRPr="00822853" w:rsidRDefault="00822853" w:rsidP="008228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22853" w:rsidRPr="00822853" w:rsidRDefault="00822853" w:rsidP="0082285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auto"/>
          <w:sz w:val="28"/>
          <w:szCs w:val="28"/>
        </w:rPr>
      </w:pPr>
      <w:r w:rsidRPr="00822853">
        <w:rPr>
          <w:rFonts w:ascii="Times New Roman" w:hAnsi="Times New Roman"/>
          <w:color w:val="auto"/>
          <w:sz w:val="28"/>
          <w:szCs w:val="28"/>
        </w:rPr>
        <w:t>»;</w:t>
      </w:r>
    </w:p>
    <w:p w:rsidR="00A91D10" w:rsidRPr="00822853" w:rsidRDefault="00A91D10" w:rsidP="00A91D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822853">
        <w:rPr>
          <w:rFonts w:ascii="Times New Roman" w:hAnsi="Times New Roman"/>
          <w:color w:val="auto"/>
          <w:sz w:val="28"/>
          <w:szCs w:val="28"/>
        </w:rPr>
        <w:t>дополнить строкой</w:t>
      </w:r>
      <w:r>
        <w:rPr>
          <w:rFonts w:ascii="Times New Roman" w:hAnsi="Times New Roman"/>
          <w:color w:val="auto"/>
          <w:sz w:val="28"/>
          <w:szCs w:val="28"/>
        </w:rPr>
        <w:t xml:space="preserve"> 2.25</w:t>
      </w:r>
      <w:r w:rsidRPr="00822853">
        <w:rPr>
          <w:rFonts w:ascii="Times New Roman" w:hAnsi="Times New Roman"/>
          <w:color w:val="auto"/>
          <w:sz w:val="28"/>
          <w:szCs w:val="28"/>
        </w:rPr>
        <w:t xml:space="preserve"> следующего содержания:</w:t>
      </w:r>
    </w:p>
    <w:p w:rsidR="00A91D10" w:rsidRPr="00822853" w:rsidRDefault="00A91D10" w:rsidP="00A91D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2853">
        <w:rPr>
          <w:rFonts w:ascii="Times New Roman" w:hAnsi="Times New Roman"/>
          <w:color w:val="auto"/>
          <w:sz w:val="28"/>
          <w:szCs w:val="28"/>
        </w:rPr>
        <w:t>«</w:t>
      </w:r>
    </w:p>
    <w:tbl>
      <w:tblPr>
        <w:tblStyle w:val="33"/>
        <w:tblW w:w="0" w:type="auto"/>
        <w:jc w:val="center"/>
        <w:tblLook w:val="04A0" w:firstRow="1" w:lastRow="0" w:firstColumn="1" w:lastColumn="0" w:noHBand="0" w:noVBand="1"/>
      </w:tblPr>
      <w:tblGrid>
        <w:gridCol w:w="696"/>
        <w:gridCol w:w="2182"/>
        <w:gridCol w:w="959"/>
        <w:gridCol w:w="482"/>
        <w:gridCol w:w="481"/>
        <w:gridCol w:w="481"/>
        <w:gridCol w:w="482"/>
        <w:gridCol w:w="482"/>
        <w:gridCol w:w="482"/>
        <w:gridCol w:w="482"/>
        <w:gridCol w:w="482"/>
        <w:gridCol w:w="482"/>
        <w:gridCol w:w="488"/>
        <w:gridCol w:w="483"/>
        <w:gridCol w:w="483"/>
      </w:tblGrid>
      <w:tr w:rsidR="009454A9" w:rsidRPr="00822853" w:rsidTr="00D50096">
        <w:trPr>
          <w:jc w:val="center"/>
        </w:trPr>
        <w:tc>
          <w:tcPr>
            <w:tcW w:w="567" w:type="dxa"/>
            <w:vAlign w:val="center"/>
          </w:tcPr>
          <w:p w:rsidR="00A91D10" w:rsidRPr="00822853" w:rsidRDefault="009454A9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2.25</w:t>
            </w:r>
            <w:r w:rsidR="00A91D10" w:rsidRPr="00822853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91D10" w:rsidRPr="00822853" w:rsidRDefault="009454A9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91D10" w:rsidRPr="00A91D10">
              <w:rPr>
                <w:sz w:val="24"/>
                <w:szCs w:val="24"/>
              </w:rPr>
              <w:t>оличество выполненных мероприятий Плана социального развития центров экономического роста Камчатского края (разработка архитектурно-планировочных решений и формирование земельного участка по объекту «Кампус для обучающихся образовательных организаций высшего образования и профессиональных образовательных организаций, расположенных в Петропавловск-Камчатском городском округе)</w:t>
            </w:r>
          </w:p>
        </w:tc>
        <w:tc>
          <w:tcPr>
            <w:tcW w:w="510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единиц</w:t>
            </w:r>
          </w:p>
        </w:tc>
        <w:tc>
          <w:tcPr>
            <w:tcW w:w="510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09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09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09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09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09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09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09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09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-</w:t>
            </w:r>
          </w:p>
        </w:tc>
        <w:tc>
          <w:tcPr>
            <w:tcW w:w="510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2853">
              <w:rPr>
                <w:sz w:val="24"/>
                <w:szCs w:val="24"/>
              </w:rPr>
              <w:t>1</w:t>
            </w:r>
          </w:p>
        </w:tc>
        <w:tc>
          <w:tcPr>
            <w:tcW w:w="510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0" w:type="dxa"/>
            <w:vAlign w:val="center"/>
          </w:tcPr>
          <w:p w:rsidR="00A91D10" w:rsidRPr="00822853" w:rsidRDefault="00A91D10" w:rsidP="00D500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91D10" w:rsidRDefault="00A91D10" w:rsidP="00A91D1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auto"/>
          <w:sz w:val="28"/>
          <w:szCs w:val="28"/>
        </w:rPr>
      </w:pPr>
      <w:r w:rsidRPr="00822853">
        <w:rPr>
          <w:rFonts w:ascii="Times New Roman" w:hAnsi="Times New Roman"/>
          <w:color w:val="auto"/>
          <w:sz w:val="28"/>
          <w:szCs w:val="28"/>
        </w:rPr>
        <w:t>»;</w:t>
      </w:r>
    </w:p>
    <w:p w:rsidR="00CC2842" w:rsidRDefault="00CC2842" w:rsidP="00F12C82">
      <w:pPr>
        <w:pStyle w:val="af1"/>
        <w:numPr>
          <w:ilvl w:val="0"/>
          <w:numId w:val="1"/>
        </w:numPr>
        <w:ind w:left="567" w:hanging="141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 таблице приложения 2</w:t>
      </w:r>
      <w:r w:rsidRPr="00CC2842">
        <w:rPr>
          <w:rFonts w:ascii="Times New Roman" w:hAnsi="Times New Roman"/>
          <w:color w:val="auto"/>
          <w:sz w:val="28"/>
          <w:szCs w:val="28"/>
        </w:rPr>
        <w:t xml:space="preserve"> к Программе:</w:t>
      </w:r>
    </w:p>
    <w:p w:rsidR="00CC2842" w:rsidRDefault="00CC2842" w:rsidP="00F12C82">
      <w:pPr>
        <w:pStyle w:val="af1"/>
        <w:numPr>
          <w:ilvl w:val="0"/>
          <w:numId w:val="4"/>
        </w:numPr>
        <w:ind w:left="567" w:hanging="141"/>
        <w:rPr>
          <w:rFonts w:ascii="Times New Roman" w:hAnsi="Times New Roman"/>
          <w:color w:val="auto"/>
          <w:sz w:val="28"/>
          <w:szCs w:val="28"/>
        </w:rPr>
      </w:pPr>
      <w:r w:rsidRPr="00CC2842">
        <w:rPr>
          <w:rFonts w:ascii="Times New Roman" w:hAnsi="Times New Roman"/>
          <w:color w:val="auto"/>
          <w:sz w:val="28"/>
          <w:szCs w:val="28"/>
        </w:rPr>
        <w:t>в графе 6:</w:t>
      </w:r>
    </w:p>
    <w:p w:rsidR="00CC2842" w:rsidRDefault="00CC2842" w:rsidP="00F12C82">
      <w:pPr>
        <w:pStyle w:val="af1"/>
        <w:ind w:left="142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а) строку 1.7 дополнить словами: «Обеспечение создания модульных спортивных залов»;</w:t>
      </w:r>
    </w:p>
    <w:p w:rsidR="00CC2842" w:rsidRDefault="00CC2842" w:rsidP="00F12C82">
      <w:pPr>
        <w:pStyle w:val="af1"/>
        <w:ind w:left="142" w:firstLine="284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б) строку 2.7 дополнить словами «</w:t>
      </w:r>
      <w:r w:rsidRPr="00CC2842">
        <w:rPr>
          <w:rFonts w:ascii="Times New Roman" w:hAnsi="Times New Roman"/>
          <w:color w:val="auto"/>
          <w:sz w:val="28"/>
          <w:szCs w:val="28"/>
        </w:rPr>
        <w:t>Обеспечение реализации мероприятий Плана социального развития центров экономического роста Камчатского края (разработка архитектурно-планировочных решений и формирование земельного участка по объекту «Кампус для обучающихся образовательных организаций высшего образования и профессиональных образовательных организаций, расположенных в Петропавловск-Камчатском городском округе</w:t>
      </w:r>
      <w:r>
        <w:rPr>
          <w:rFonts w:ascii="Times New Roman" w:hAnsi="Times New Roman"/>
          <w:color w:val="auto"/>
          <w:sz w:val="28"/>
          <w:szCs w:val="28"/>
        </w:rPr>
        <w:t>).</w:t>
      </w:r>
    </w:p>
    <w:p w:rsidR="00CC2842" w:rsidRDefault="00CC2842" w:rsidP="00F12C82">
      <w:pPr>
        <w:pStyle w:val="af1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2)</w:t>
      </w:r>
      <w:r w:rsidRPr="00CC2842">
        <w:rPr>
          <w:rFonts w:ascii="Times New Roman" w:hAnsi="Times New Roman"/>
          <w:color w:val="auto"/>
          <w:sz w:val="28"/>
          <w:szCs w:val="28"/>
        </w:rPr>
        <w:t xml:space="preserve"> в графе</w:t>
      </w:r>
      <w:r>
        <w:rPr>
          <w:rFonts w:ascii="Times New Roman" w:hAnsi="Times New Roman"/>
          <w:color w:val="auto"/>
          <w:sz w:val="28"/>
          <w:szCs w:val="28"/>
        </w:rPr>
        <w:t xml:space="preserve"> 8</w:t>
      </w:r>
      <w:r w:rsidRPr="00CC2842">
        <w:rPr>
          <w:rFonts w:ascii="Times New Roman" w:hAnsi="Times New Roman"/>
          <w:color w:val="auto"/>
          <w:sz w:val="28"/>
          <w:szCs w:val="28"/>
        </w:rPr>
        <w:t>:</w:t>
      </w:r>
    </w:p>
    <w:p w:rsidR="00CC2842" w:rsidRDefault="00CC2842" w:rsidP="00F12C82">
      <w:pPr>
        <w:pStyle w:val="af1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а) </w:t>
      </w:r>
      <w:r w:rsidR="00836DB6">
        <w:rPr>
          <w:rFonts w:ascii="Times New Roman" w:hAnsi="Times New Roman"/>
          <w:color w:val="auto"/>
          <w:sz w:val="28"/>
          <w:szCs w:val="28"/>
        </w:rPr>
        <w:t>строку 1.7 изложить в следующей редакции: «</w:t>
      </w:r>
      <w:r w:rsidR="00836DB6" w:rsidRPr="00836DB6">
        <w:rPr>
          <w:rFonts w:ascii="Times New Roman" w:hAnsi="Times New Roman"/>
          <w:color w:val="auto"/>
          <w:sz w:val="28"/>
          <w:szCs w:val="28"/>
        </w:rPr>
        <w:t>Показатели 1, 1.2, 1.9, 1.30</w:t>
      </w:r>
      <w:r w:rsidR="00836DB6">
        <w:rPr>
          <w:rFonts w:ascii="Times New Roman" w:hAnsi="Times New Roman"/>
          <w:color w:val="auto"/>
          <w:sz w:val="28"/>
          <w:szCs w:val="28"/>
        </w:rPr>
        <w:t>, 1.32</w:t>
      </w:r>
      <w:r w:rsidR="00836DB6" w:rsidRPr="00836DB6">
        <w:rPr>
          <w:rFonts w:ascii="Times New Roman" w:hAnsi="Times New Roman"/>
          <w:color w:val="auto"/>
          <w:sz w:val="28"/>
          <w:szCs w:val="28"/>
        </w:rPr>
        <w:t xml:space="preserve"> таблицы приложения 1 к Про</w:t>
      </w:r>
      <w:bookmarkStart w:id="2" w:name="_GoBack"/>
      <w:bookmarkEnd w:id="2"/>
      <w:r w:rsidR="00836DB6" w:rsidRPr="00836DB6">
        <w:rPr>
          <w:rFonts w:ascii="Times New Roman" w:hAnsi="Times New Roman"/>
          <w:color w:val="auto"/>
          <w:sz w:val="28"/>
          <w:szCs w:val="28"/>
        </w:rPr>
        <w:t>грамме</w:t>
      </w:r>
      <w:r w:rsidR="00836DB6">
        <w:rPr>
          <w:rFonts w:ascii="Times New Roman" w:hAnsi="Times New Roman"/>
          <w:color w:val="auto"/>
          <w:sz w:val="28"/>
          <w:szCs w:val="28"/>
        </w:rPr>
        <w:t>;</w:t>
      </w:r>
    </w:p>
    <w:p w:rsidR="00836DB6" w:rsidRDefault="00836DB6" w:rsidP="00F12C82">
      <w:pPr>
        <w:pStyle w:val="af1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б) строку 2.7 изложить в следующей редакции: «Показатели 2.9,</w:t>
      </w:r>
      <w:r w:rsidRPr="00836DB6">
        <w:rPr>
          <w:rFonts w:ascii="Times New Roman" w:hAnsi="Times New Roman"/>
          <w:color w:val="auto"/>
          <w:sz w:val="28"/>
          <w:szCs w:val="28"/>
        </w:rPr>
        <w:t xml:space="preserve"> 2.19</w:t>
      </w:r>
      <w:r>
        <w:rPr>
          <w:rFonts w:ascii="Times New Roman" w:hAnsi="Times New Roman"/>
          <w:color w:val="auto"/>
          <w:sz w:val="28"/>
          <w:szCs w:val="28"/>
        </w:rPr>
        <w:t>, 2.25</w:t>
      </w:r>
      <w:r w:rsidRPr="00836DB6">
        <w:rPr>
          <w:rFonts w:ascii="Times New Roman" w:hAnsi="Times New Roman"/>
          <w:color w:val="auto"/>
          <w:sz w:val="28"/>
          <w:szCs w:val="28"/>
        </w:rPr>
        <w:t xml:space="preserve"> таблицы приложения 1 к Программе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D767A1" w:rsidRDefault="00D767A1" w:rsidP="00CC2842">
      <w:pPr>
        <w:pStyle w:val="af1"/>
        <w:ind w:left="426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 </w:t>
      </w:r>
      <w:r w:rsidRPr="00D767A1">
        <w:rPr>
          <w:rFonts w:ascii="Times New Roman" w:hAnsi="Times New Roman"/>
          <w:color w:val="auto"/>
          <w:sz w:val="28"/>
          <w:szCs w:val="28"/>
        </w:rPr>
        <w:t>Дополнить Программу приложением</w:t>
      </w:r>
      <w:r>
        <w:rPr>
          <w:rFonts w:ascii="Times New Roman" w:hAnsi="Times New Roman"/>
          <w:color w:val="auto"/>
          <w:sz w:val="28"/>
          <w:szCs w:val="28"/>
        </w:rPr>
        <w:t xml:space="preserve"> 16:</w:t>
      </w:r>
    </w:p>
    <w:p w:rsidR="00D767A1" w:rsidRPr="00D767A1" w:rsidRDefault="00D767A1" w:rsidP="00D767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«Приложение 16</w:t>
      </w:r>
    </w:p>
    <w:p w:rsidR="00D767A1" w:rsidRPr="00D767A1" w:rsidRDefault="00D767A1" w:rsidP="00D767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к Программе</w:t>
      </w:r>
    </w:p>
    <w:p w:rsidR="00D767A1" w:rsidRPr="00D767A1" w:rsidRDefault="00D767A1" w:rsidP="00D767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67A1" w:rsidRPr="00D767A1" w:rsidRDefault="00D767A1" w:rsidP="00D76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D767A1">
        <w:rPr>
          <w:rFonts w:ascii="Times New Roman" w:hAnsi="Times New Roman"/>
          <w:bCs/>
          <w:color w:val="auto"/>
          <w:sz w:val="28"/>
          <w:szCs w:val="28"/>
        </w:rPr>
        <w:t>Порядок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 xml:space="preserve">Предоставления и распределения иных межбюджетных трансфертов местным бюджетам из краевого бюджета на реализацию отдельных мероприятий в рамках основного мероприятия 1.7 «Развитие инфраструктуры дошкольного, общего образования, дополнительного образования детей и сферы реабилитации и социализации детей» подпрограммы 1 «Развитие дошкольного, общего образования и дополнительного образования детей в Камчатском крае» в части выполнения мероприятий плана социального развития центров экономического роста Камчатского края 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(далее – Порядок)</w:t>
      </w:r>
    </w:p>
    <w:p w:rsidR="00D767A1" w:rsidRPr="00D767A1" w:rsidRDefault="00D767A1" w:rsidP="00D767A1">
      <w:pPr>
        <w:widowControl w:val="0"/>
        <w:autoSpaceDE w:val="0"/>
        <w:autoSpaceDN w:val="0"/>
        <w:adjustRightInd w:val="0"/>
        <w:spacing w:after="1" w:line="240" w:lineRule="auto"/>
        <w:ind w:firstLine="720"/>
        <w:rPr>
          <w:rFonts w:ascii="Times New Roman" w:hAnsi="Times New Roman"/>
          <w:color w:val="auto"/>
          <w:sz w:val="28"/>
          <w:szCs w:val="28"/>
        </w:rPr>
      </w:pP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 xml:space="preserve">1. Настоящий Порядок разработан в соответствии со </w:t>
      </w:r>
      <w:hyperlink r:id="rId8">
        <w:r w:rsidRPr="00D767A1">
          <w:rPr>
            <w:rFonts w:ascii="Times New Roman" w:hAnsi="Times New Roman"/>
            <w:color w:val="auto"/>
            <w:sz w:val="28"/>
            <w:szCs w:val="28"/>
          </w:rPr>
          <w:t>статьей 139.1</w:t>
        </w:r>
      </w:hyperlink>
      <w:r w:rsidRPr="00D767A1">
        <w:rPr>
          <w:rFonts w:ascii="Times New Roman" w:hAnsi="Times New Roman"/>
          <w:color w:val="auto"/>
          <w:sz w:val="28"/>
          <w:szCs w:val="28"/>
        </w:rPr>
        <w:t xml:space="preserve"> Бюджетного кодекса Российской Федерации и регулирует вопросы предоставления и распределения иных межбюджетных трансфертов местным бюджетам муниципальных образований в Камчатском крае из краевого бюджета на реализацию отдельных мероприятий в рамках основного мероприятия 1.7 «Развитие инфраструктуры дошкольного, общего образования, дополнительного образования детей и сферы реабилитации и социализации детей» подпрограммы 1 «Развитие дошкольного, общего образования и дополнительного образования детей в Камчатском крае» в части выполнения мероприятий Плана социального развития центров экономического роста Камчатского края, утвержденного распоряжением Правительства Камчатского края от 25.06.2018 № 270-РП (далее в настоящем Порядке соответственно – иные межбюджетные трансферты, План).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3" w:name="P19"/>
      <w:bookmarkEnd w:id="3"/>
      <w:r w:rsidRPr="00D767A1">
        <w:rPr>
          <w:rFonts w:ascii="Times New Roman" w:hAnsi="Times New Roman"/>
          <w:color w:val="auto"/>
          <w:sz w:val="28"/>
          <w:szCs w:val="28"/>
        </w:rPr>
        <w:t>2. Иные межбюджетные трансферты предоставляются в целях софинансирования, в том числе в полном объеме, расходных обязательств муниципальных образований в Камчатском крае, возникающих в связи с реализацией основного мероприятия 1.7 «Развитие инфраструктуры дошкольного, общего образования, дополнительного образования детей и сферы реабилитации и социализации детей» Подпрограммы 1 в части выполнения мероприятий Плана, направленных на создание модульных спортивных залов в общеобразовательных организациях Камчатского края.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 xml:space="preserve">3. Иные межбюджетные трансферты предоставляются за счет средств иных межбюджетных трансфертов из федерального бюджета, предоставленных Камчатскому краю на реализацию мероприятий планов социального развития центров экономического роста субъектов Российской Федерации, входящих в </w:t>
      </w:r>
      <w:r w:rsidRPr="00D767A1">
        <w:rPr>
          <w:rFonts w:ascii="Times New Roman" w:hAnsi="Times New Roman"/>
          <w:color w:val="auto"/>
          <w:sz w:val="28"/>
          <w:szCs w:val="28"/>
        </w:rPr>
        <w:lastRenderedPageBreak/>
        <w:t xml:space="preserve">состав Дальневосточного Федерального округа, в соответствии с </w:t>
      </w:r>
      <w:hyperlink r:id="rId9">
        <w:r w:rsidRPr="00D767A1">
          <w:rPr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D767A1">
        <w:rPr>
          <w:rFonts w:ascii="Times New Roman" w:hAnsi="Times New Roman"/>
          <w:color w:val="auto"/>
          <w:sz w:val="28"/>
          <w:szCs w:val="28"/>
        </w:rPr>
        <w:t xml:space="preserve"> Правительства Российской Федерации от 14.03.2018 № 254 «Об утверждении Правил предоставления и распределения иных межбюджетных трансфертов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округа».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4. Критерием отбора муниципальных образований в Камчатском крае для предоставления иного межбюджетного трансферта является соответствие муниципальных образований в Камчатском крае следующим требованиям: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1) расположение муниципального образования в Камчатском крае на территории центров экономического роста Камчатского края;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2) наличие муниципального образования в рамках утвержденного перечня мероприятий Плана.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5. Условием предоставления иных межбюджетных трансфертов являются: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1) наличие у муниципального образования в Камчатском крае утвержденной муниципальной программы, содержащей мероприятия Плана либо обязательства муниципального образования в Камчатском крае о разработке (внесении соответствующих изменений в действующую муниципальную программу);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2) заключение соглашения о предоставлении иного межбюджетного трансферта между главным распорядителем бюджетных средств и органом местного самоуправления муниципального образования в Камчатском крае в форме электронного документа посредством государственной интегрированной информационной системы управления общественными финансами «Электронный бюджет» (далее – Соглашение).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 xml:space="preserve">6. Иные межбюджетные трансферты предоставляются муниципальным образованиям в Камчатском крае в пределах лимитов бюджетных обязательств, доведенных до Министерства на цели, указанные в </w:t>
      </w:r>
      <w:hyperlink w:anchor="Par19" w:history="1">
        <w:r w:rsidRPr="00D767A1">
          <w:rPr>
            <w:rFonts w:ascii="Times New Roman" w:hAnsi="Times New Roman"/>
            <w:color w:val="auto"/>
            <w:sz w:val="28"/>
            <w:szCs w:val="28"/>
          </w:rPr>
          <w:t>части 2</w:t>
        </w:r>
      </w:hyperlink>
      <w:r w:rsidRPr="00D767A1">
        <w:rPr>
          <w:rFonts w:ascii="Times New Roman" w:hAnsi="Times New Roman"/>
          <w:color w:val="auto"/>
          <w:sz w:val="28"/>
          <w:szCs w:val="28"/>
        </w:rPr>
        <w:t xml:space="preserve"> настоящего Порядка.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7. Распределение иных межбюджетных трансфертов осуществляется по формуле: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noProof/>
          <w:color w:val="auto"/>
          <w:position w:val="-36"/>
          <w:sz w:val="28"/>
          <w:szCs w:val="28"/>
        </w:rPr>
        <w:drawing>
          <wp:inline distT="0" distB="0" distL="0" distR="0" wp14:anchorId="24EFE5EE" wp14:editId="2254AE7C">
            <wp:extent cx="1812925" cy="6464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7A1">
        <w:rPr>
          <w:rFonts w:ascii="Times New Roman" w:hAnsi="Times New Roman"/>
          <w:color w:val="auto"/>
          <w:sz w:val="28"/>
          <w:szCs w:val="28"/>
        </w:rPr>
        <w:t>,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где: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S</w:t>
      </w:r>
      <w:r w:rsidRPr="00D767A1">
        <w:rPr>
          <w:rFonts w:ascii="Times New Roman" w:hAnsi="Times New Roman"/>
          <w:color w:val="auto"/>
          <w:sz w:val="28"/>
          <w:szCs w:val="28"/>
          <w:vertAlign w:val="subscript"/>
        </w:rPr>
        <w:t>i</w:t>
      </w:r>
      <w:r w:rsidRPr="00D767A1">
        <w:rPr>
          <w:rFonts w:ascii="Times New Roman" w:hAnsi="Times New Roman"/>
          <w:color w:val="auto"/>
          <w:sz w:val="28"/>
          <w:szCs w:val="28"/>
        </w:rPr>
        <w:t xml:space="preserve"> – размер иных межбюджетных трансфертов, предоставляемых бюджету i-го муниципального образования;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S</w:t>
      </w:r>
      <w:r w:rsidRPr="00D767A1">
        <w:rPr>
          <w:rFonts w:ascii="Times New Roman" w:hAnsi="Times New Roman"/>
          <w:color w:val="auto"/>
          <w:sz w:val="28"/>
          <w:szCs w:val="28"/>
          <w:vertAlign w:val="subscript"/>
        </w:rPr>
        <w:t>общ</w:t>
      </w:r>
      <w:r w:rsidRPr="00D767A1">
        <w:rPr>
          <w:rFonts w:ascii="Times New Roman" w:hAnsi="Times New Roman"/>
          <w:color w:val="auto"/>
          <w:sz w:val="28"/>
          <w:szCs w:val="28"/>
        </w:rPr>
        <w:t xml:space="preserve"> – общий размер иных межбюджетных трансфертов, предоставляемых бюджетам муниципальных образований, доведенных до Министерства на цели, указанные </w:t>
      </w:r>
      <w:r w:rsidRPr="00D767A1">
        <w:rPr>
          <w:rFonts w:ascii="Times New Roman" w:hAnsi="Times New Roman"/>
          <w:sz w:val="28"/>
          <w:szCs w:val="28"/>
        </w:rPr>
        <w:t xml:space="preserve">в </w:t>
      </w:r>
      <w:hyperlink w:anchor="Par19" w:history="1">
        <w:r w:rsidRPr="00D767A1">
          <w:rPr>
            <w:rFonts w:ascii="Times New Roman" w:hAnsi="Times New Roman"/>
            <w:sz w:val="28"/>
            <w:szCs w:val="28"/>
          </w:rPr>
          <w:t>части 2</w:t>
        </w:r>
      </w:hyperlink>
      <w:r w:rsidRPr="00D767A1">
        <w:rPr>
          <w:rFonts w:ascii="Times New Roman" w:hAnsi="Times New Roman"/>
          <w:sz w:val="28"/>
          <w:szCs w:val="28"/>
        </w:rPr>
        <w:t xml:space="preserve"> настоящего </w:t>
      </w:r>
      <w:r w:rsidRPr="00D767A1">
        <w:rPr>
          <w:rFonts w:ascii="Times New Roman" w:hAnsi="Times New Roman"/>
          <w:color w:val="auto"/>
          <w:sz w:val="28"/>
          <w:szCs w:val="28"/>
        </w:rPr>
        <w:t>Порядка в текущем финансовом году;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П</w:t>
      </w:r>
      <w:r w:rsidRPr="00D767A1">
        <w:rPr>
          <w:rFonts w:ascii="Times New Roman" w:hAnsi="Times New Roman"/>
          <w:color w:val="auto"/>
          <w:sz w:val="28"/>
          <w:szCs w:val="28"/>
          <w:vertAlign w:val="subscript"/>
        </w:rPr>
        <w:t>одобр i</w:t>
      </w:r>
      <w:r w:rsidRPr="00D767A1">
        <w:rPr>
          <w:rFonts w:ascii="Times New Roman" w:hAnsi="Times New Roman"/>
          <w:color w:val="auto"/>
          <w:sz w:val="28"/>
          <w:szCs w:val="28"/>
        </w:rPr>
        <w:t xml:space="preserve"> – одобренный, в соответствии с Планом, размер иных межбюджетных трансфертов, предоставляемых бюджету i-го муниципального образования.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lastRenderedPageBreak/>
        <w:t>Распределение иных межбюджетных трансфертов между муниципальными образованиями в Камчатском крае осуществляется в соответствии с Планом и утверждается законом Камчатского края о краевом бюджете на соответствующий финансовый год и на плановый период.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10. Перечисление иных межбюджетных трансфертов осуществляется на счета, открытые в Управлении Федерального казначейства по Камчатскому краю для учета операций со средствами бюджетов муниципальных образований в Камчатском крае.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11. Средства иных межбюджетных трансфертов не могут быть использованы органами местного самоуправления муниципальных образований в Камчатском крае на цели, не предусмотренные настоящим Порядком.</w:t>
      </w:r>
    </w:p>
    <w:p w:rsidR="00D767A1" w:rsidRPr="00D767A1" w:rsidRDefault="00D767A1" w:rsidP="00D767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12. Результатом предоставления иных межбюджетных трансфертов является количество созданных модульных спортивных залов в отчетном году. Значение результата предоставления иных межбюджетных трансфертов устанавливается Соглашением.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13. Отчеты о расходовании средств иных межбюджетных трансфертов представляются органами местного самоуправления муниципальных образований в Камчатском крае по форме и в сроки, установленные Соглашением.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14. Оценка эффективности использования иного межбюджетного трансферта осуществляется путем сравнения, фактически достигнутого и установленного Соглашением значения показателя результата использования иного межбюджетного трансферта, предусмотренных Соглашением.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15. В случае нецелевого использования средств иного межбюджетного трансферта муниципальным образованием в Камчатском крае, иной межбюджетный трансферт подлежит возврату в краевой бюджет в течение 30 календарных дней со дня получения уведомления от Министерства.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Министерство направляет указанное уведомление в муниципальное образование в Камчатском крае в течение 30 календарных дней со дня установления факта нецелевого использования иного межбюджетного трансферта.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В случае, если средства иного межбюджетного трансферта не возвращены в срок, установленный абзацем первым настоящей части, Министерство обращается в Министерство финансов Камчатского края для применения мер бюджетного принуждения в соответствии с бюджетным законодательством Российской Федерации.</w:t>
      </w:r>
    </w:p>
    <w:p w:rsidR="00D767A1" w:rsidRP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 xml:space="preserve">16. Не использованные по </w:t>
      </w:r>
      <w:r w:rsidRPr="00D767A1">
        <w:rPr>
          <w:rFonts w:ascii="Times New Roman" w:hAnsi="Times New Roman"/>
          <w:sz w:val="28"/>
          <w:szCs w:val="28"/>
        </w:rPr>
        <w:t xml:space="preserve">состоянию на 1 января текущего финансового года иные межбюджетные трансферты подлежат возврату в доход краевого бюджета в соответствии со </w:t>
      </w:r>
      <w:hyperlink r:id="rId11" w:history="1">
        <w:r w:rsidRPr="00D767A1">
          <w:rPr>
            <w:rFonts w:ascii="Times New Roman" w:hAnsi="Times New Roman"/>
            <w:sz w:val="28"/>
            <w:szCs w:val="28"/>
          </w:rPr>
          <w:t>статьей 242</w:t>
        </w:r>
      </w:hyperlink>
      <w:r w:rsidRPr="00D767A1">
        <w:rPr>
          <w:rFonts w:ascii="Times New Roman" w:hAnsi="Times New Roman"/>
          <w:color w:val="auto"/>
          <w:sz w:val="28"/>
          <w:szCs w:val="28"/>
        </w:rPr>
        <w:t xml:space="preserve"> Бюджетного кодекса Российской Федерации.</w:t>
      </w:r>
    </w:p>
    <w:p w:rsid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767A1">
        <w:rPr>
          <w:rFonts w:ascii="Times New Roman" w:hAnsi="Times New Roman"/>
          <w:color w:val="auto"/>
          <w:sz w:val="28"/>
          <w:szCs w:val="28"/>
        </w:rPr>
        <w:t>17. Контроль за соблюдением муниципальными образованиями в Камчатском крае целей, условий и порядка предоставления и расходования иных межбюджетных трансфертов из краевого бюджета, а также за соблюдением условий Соглашений осуществляется Министерством и органами государс</w:t>
      </w:r>
      <w:r>
        <w:rPr>
          <w:rFonts w:ascii="Times New Roman" w:hAnsi="Times New Roman"/>
          <w:color w:val="auto"/>
          <w:sz w:val="28"/>
          <w:szCs w:val="28"/>
        </w:rPr>
        <w:t>твенного финансового контроля.»;</w:t>
      </w:r>
    </w:p>
    <w:p w:rsidR="00D767A1" w:rsidRDefault="00D767A1" w:rsidP="00D76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7. </w:t>
      </w:r>
      <w:r w:rsidRPr="00D767A1">
        <w:rPr>
          <w:rFonts w:ascii="Times New Roman" w:hAnsi="Times New Roman"/>
          <w:color w:val="auto"/>
          <w:sz w:val="28"/>
          <w:szCs w:val="28"/>
        </w:rPr>
        <w:t>Дополнить Программу приложением</w:t>
      </w:r>
      <w:r>
        <w:rPr>
          <w:rFonts w:ascii="Times New Roman" w:hAnsi="Times New Roman"/>
          <w:color w:val="auto"/>
          <w:sz w:val="28"/>
          <w:szCs w:val="28"/>
        </w:rPr>
        <w:t xml:space="preserve"> 17</w:t>
      </w:r>
      <w:r w:rsidRPr="00D767A1">
        <w:rPr>
          <w:rFonts w:ascii="Times New Roman" w:hAnsi="Times New Roman"/>
          <w:color w:val="auto"/>
          <w:sz w:val="28"/>
          <w:szCs w:val="28"/>
        </w:rPr>
        <w:t>:</w:t>
      </w:r>
    </w:p>
    <w:p w:rsidR="00D767A1" w:rsidRPr="00D767A1" w:rsidRDefault="00D767A1" w:rsidP="00D767A1">
      <w:pPr>
        <w:widowControl w:val="0"/>
        <w:spacing w:after="0" w:line="240" w:lineRule="auto"/>
        <w:ind w:firstLine="720"/>
        <w:jc w:val="right"/>
        <w:outlineLvl w:val="0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«Приложение 17</w:t>
      </w:r>
    </w:p>
    <w:p w:rsidR="00D767A1" w:rsidRPr="00D767A1" w:rsidRDefault="00D767A1" w:rsidP="00D767A1">
      <w:pPr>
        <w:widowControl w:val="0"/>
        <w:spacing w:after="0" w:line="240" w:lineRule="auto"/>
        <w:ind w:firstLine="720"/>
        <w:jc w:val="right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к Программе</w:t>
      </w:r>
    </w:p>
    <w:p w:rsidR="00D767A1" w:rsidRPr="00D767A1" w:rsidRDefault="00D767A1" w:rsidP="00D767A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D767A1" w:rsidRPr="00D767A1" w:rsidRDefault="00D767A1" w:rsidP="00D767A1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Порядок</w:t>
      </w:r>
    </w:p>
    <w:p w:rsidR="00D767A1" w:rsidRPr="00D767A1" w:rsidRDefault="00D767A1" w:rsidP="00D767A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 xml:space="preserve">Предоставления и распределения иных межбюджетных трансфертов местным бюджетам из краевого бюджета на реализацию отдельных мероприятий в рамках основного мероприятия 2.7 «Модернизация инфраструктуры системы профессионального образования» подпрограммы 2 «Развитие профессионального образования в Камчатском крае» в части выполнения мероприятий плана социального развития центров экономического роста Камчатского края </w:t>
      </w:r>
    </w:p>
    <w:p w:rsidR="00D767A1" w:rsidRPr="00D767A1" w:rsidRDefault="00D767A1" w:rsidP="00D767A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(далее – Порядок)</w:t>
      </w:r>
    </w:p>
    <w:p w:rsidR="00D767A1" w:rsidRPr="00D767A1" w:rsidRDefault="00D767A1" w:rsidP="00D767A1">
      <w:pPr>
        <w:widowControl w:val="0"/>
        <w:spacing w:after="1" w:line="240" w:lineRule="auto"/>
        <w:ind w:firstLine="720"/>
        <w:rPr>
          <w:rFonts w:ascii="Times New Roman" w:hAnsi="Times New Roman"/>
          <w:sz w:val="28"/>
        </w:rPr>
      </w:pP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 xml:space="preserve">1. Настоящий Порядок разработан в соответствии со </w:t>
      </w:r>
      <w:hyperlink r:id="rId12" w:history="1">
        <w:r w:rsidRPr="00D767A1">
          <w:rPr>
            <w:rFonts w:ascii="Times New Roman" w:hAnsi="Times New Roman"/>
            <w:sz w:val="28"/>
          </w:rPr>
          <w:t>статьей 139.1</w:t>
        </w:r>
      </w:hyperlink>
      <w:r w:rsidRPr="00D767A1">
        <w:rPr>
          <w:rFonts w:ascii="Times New Roman" w:hAnsi="Times New Roman"/>
          <w:sz w:val="28"/>
        </w:rPr>
        <w:t xml:space="preserve"> Бюджетного кодекса Российской Федерации и регулирует вопросы предоставления и распределения иных межбюджетных трансфертов местным бюджетам муниципальных образований в Камчатском крае из краевого бюджета на реализацию отдельных мероприятий в рамках основного мероприятия 2.7 «Модернизация инфраструктуры системы профессионального образования» Подпрограммы 2 в части выполнения мероприятий Плана социального развития центров экономического роста Камчатского края, утвержденного распоряжением Правительства Камчатского края от 25.06.2018 № 270-РП (далее в настоящем Порядке соответственно – иные межбюджетные трансферты, План).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2. Иные межбюджетные трансферты предоставляются в целях софинансирования, в том числе в полном объеме, расходных обязательств муниципальных образований в Камчатском крае, возникающих в связи с реализацией основного мероприятия 2.7 «Модернизация инфраструктуры системы профессионального образования» Подпрограммы 2 в части выполнения мероприятий Плана, направленных на разработку архитектурно-планировочного решения и формирование земельного участка по объекту «Кампус для обучающихся образовательных организаций высшего образования и профессиональных образовательных организаций, расположенных в Петропавловск-Камчатском городском округе».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 xml:space="preserve">3. Иные межбюджетные трансферты предоставляются за счет средств иных межбюджетных трансфертов из федерального бюджета, предоставленных Камчатскому краю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округа, в соответствии с </w:t>
      </w:r>
      <w:hyperlink r:id="rId13" w:history="1">
        <w:r w:rsidRPr="00D767A1">
          <w:rPr>
            <w:rFonts w:ascii="Times New Roman" w:hAnsi="Times New Roman"/>
            <w:sz w:val="28"/>
          </w:rPr>
          <w:t>Постановлением</w:t>
        </w:r>
      </w:hyperlink>
      <w:r w:rsidRPr="00D767A1">
        <w:rPr>
          <w:rFonts w:ascii="Times New Roman" w:hAnsi="Times New Roman"/>
          <w:sz w:val="28"/>
        </w:rPr>
        <w:t xml:space="preserve"> Правительства Российской Федерации от 14.03.2018 № 254 «Об утверждении Правил предоставления и распределения иных межбюджетных трансфертов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округа».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lastRenderedPageBreak/>
        <w:t>4. Критерием отбора муниципальных образований в Камчатском крае для предоставления иного межбюджетного трансферта является соответствие муниципальных образований в Камчатском крае следующим требованиям: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1) расположение муниципального образования в Камчатском крае на территории центров экономического роста Камчатского края;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2) наличие муниципального образования в рамках утвержденного перечня мероприятий Плана.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5. Условием предоставления иных межбюджетных трансфертов являются: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1) наличие у муниципального образования в Камчатском крае утвержденной муниципальной программы, содержащей мероприятия Плана либо обязательства муниципального образования в Камчатском крае о разработке (внесении соответствующих изменений в действующую муниципальную программу);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2) заключение соглашения о предоставлении иного межбюджетного трансферта между главным распорядителем бюджетных средств и органом местного самоуправления муниципального образования в Камчатском крае в форме электронного документа посредством государственной интегрированной информационной системы управления общественными финансами «Электронный бюджет» (далее – Соглашение).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6. Иные межбюджетные трансферты предоставляются муниципальным образованиям в Камчатском крае в пределах лимитов бюджетных обязательств, доведенных до Министерства на цели, указанные в части 2 настоящего Порядка.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7. Распределение иных межбюджетных трансфертов осуществляется по формуле:</w:t>
      </w:r>
    </w:p>
    <w:p w:rsidR="00D767A1" w:rsidRPr="00D767A1" w:rsidRDefault="00D767A1" w:rsidP="00D767A1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</w:rPr>
      </w:pPr>
    </w:p>
    <w:p w:rsidR="00D767A1" w:rsidRPr="00D767A1" w:rsidRDefault="00D767A1" w:rsidP="00D767A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noProof/>
          <w:sz w:val="28"/>
        </w:rPr>
        <w:drawing>
          <wp:inline distT="0" distB="0" distL="0" distR="0" wp14:anchorId="29F6A890" wp14:editId="76AD587A">
            <wp:extent cx="1812925" cy="646430"/>
            <wp:effectExtent l="0" t="0" r="0" b="0"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181292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67A1">
        <w:rPr>
          <w:rFonts w:ascii="Times New Roman" w:hAnsi="Times New Roman"/>
          <w:sz w:val="28"/>
        </w:rPr>
        <w:t>,</w:t>
      </w:r>
    </w:p>
    <w:p w:rsidR="00D767A1" w:rsidRPr="00D767A1" w:rsidRDefault="00D767A1" w:rsidP="00D767A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где: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S</w:t>
      </w:r>
      <w:r w:rsidRPr="00D767A1">
        <w:rPr>
          <w:rFonts w:ascii="Times New Roman" w:hAnsi="Times New Roman"/>
          <w:sz w:val="28"/>
          <w:vertAlign w:val="subscript"/>
        </w:rPr>
        <w:t>i</w:t>
      </w:r>
      <w:r w:rsidRPr="00D767A1">
        <w:rPr>
          <w:rFonts w:ascii="Times New Roman" w:hAnsi="Times New Roman"/>
          <w:sz w:val="28"/>
        </w:rPr>
        <w:t xml:space="preserve"> – размер иных межбюджетных трансфертов, предоставляемых бюджету i-го муниципального образования;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S</w:t>
      </w:r>
      <w:r w:rsidRPr="00D767A1">
        <w:rPr>
          <w:rFonts w:ascii="Times New Roman" w:hAnsi="Times New Roman"/>
          <w:sz w:val="28"/>
          <w:vertAlign w:val="subscript"/>
        </w:rPr>
        <w:t>общ</w:t>
      </w:r>
      <w:r w:rsidRPr="00D767A1">
        <w:rPr>
          <w:rFonts w:ascii="Times New Roman" w:hAnsi="Times New Roman"/>
          <w:sz w:val="28"/>
        </w:rPr>
        <w:t xml:space="preserve"> – общий размер иных межбюджетных трансфертов, предоставляемых бюджетам муниципальных образований, доведенных до Министерства на цели, указанные </w:t>
      </w:r>
      <w:r w:rsidRPr="00D767A1">
        <w:rPr>
          <w:rFonts w:ascii="Times New Roman" w:hAnsi="Times New Roman"/>
          <w:color w:val="000000" w:themeColor="text1"/>
          <w:sz w:val="28"/>
        </w:rPr>
        <w:t xml:space="preserve">в части 2 настоящего </w:t>
      </w:r>
      <w:r w:rsidRPr="00D767A1">
        <w:rPr>
          <w:rFonts w:ascii="Times New Roman" w:hAnsi="Times New Roman"/>
          <w:sz w:val="28"/>
        </w:rPr>
        <w:t>Порядка в текущем финансовом году;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П</w:t>
      </w:r>
      <w:r w:rsidRPr="00D767A1">
        <w:rPr>
          <w:rFonts w:ascii="Times New Roman" w:hAnsi="Times New Roman"/>
          <w:sz w:val="28"/>
          <w:vertAlign w:val="subscript"/>
        </w:rPr>
        <w:t>одобр i</w:t>
      </w:r>
      <w:r w:rsidRPr="00D767A1">
        <w:rPr>
          <w:rFonts w:ascii="Times New Roman" w:hAnsi="Times New Roman"/>
          <w:sz w:val="28"/>
        </w:rPr>
        <w:t xml:space="preserve"> – одобренный, в соответствии с Планом, размер иных межбюджетных трансфертов, предоставляемых бюджету i-го муниципального образования.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Распределение иных межбюджетных трансфертов между муниципальными образованиями в Камчатском крае осуществляется в соответствии с Планом и утверждается законом Камчатского края о краевом бюджете на соответствующий финансовый год и на плановый период.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 xml:space="preserve">10. Перечисление иных межбюджетных трансфертов осуществляется на счета, открытые в Управлении Федерального казначейства по Камчатскому краю </w:t>
      </w:r>
      <w:r w:rsidRPr="00D767A1">
        <w:rPr>
          <w:rFonts w:ascii="Times New Roman" w:hAnsi="Times New Roman"/>
          <w:sz w:val="28"/>
        </w:rPr>
        <w:lastRenderedPageBreak/>
        <w:t>для учета операций со средствами бюджетов муниципальных образований в Камчатском крае.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11. Средства иных межбюджетных трансфертов не могут быть использованы органами местного самоуправления муниципальных образований в Камчатском крае на цели, не предусмотренные настоящим Порядком.</w:t>
      </w:r>
    </w:p>
    <w:p w:rsidR="00D767A1" w:rsidRPr="00D767A1" w:rsidRDefault="00D767A1" w:rsidP="00D767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 xml:space="preserve">12. Результатом предоставления иных межбюджетных трансфертов является количество выполненных </w:t>
      </w:r>
      <w:r w:rsidRPr="00D767A1">
        <w:rPr>
          <w:rFonts w:ascii="Times New Roman" w:hAnsi="Times New Roman"/>
          <w:sz w:val="28"/>
          <w:szCs w:val="28"/>
        </w:rPr>
        <w:t>мероприятий Плана социального развития центров экономического роста Камчатского края</w:t>
      </w:r>
      <w:r w:rsidRPr="00D767A1">
        <w:rPr>
          <w:rFonts w:ascii="Times New Roman" w:hAnsi="Times New Roman"/>
          <w:sz w:val="28"/>
        </w:rPr>
        <w:t xml:space="preserve"> (разработка </w:t>
      </w:r>
      <w:r w:rsidRPr="00D767A1">
        <w:rPr>
          <w:rFonts w:ascii="Times New Roman" w:hAnsi="Times New Roman"/>
          <w:sz w:val="28"/>
          <w:szCs w:val="28"/>
        </w:rPr>
        <w:t xml:space="preserve">архитектурно-планировочных решений и формирование земельного участка по объекту «Кампус для обучающихся образовательных организаций высшего образования и профессиональных образовательных организаций, расположенных в Петропавловск-Камчатском городском округе) </w:t>
      </w:r>
      <w:r w:rsidRPr="00D767A1">
        <w:rPr>
          <w:rFonts w:ascii="Times New Roman" w:hAnsi="Times New Roman"/>
          <w:sz w:val="28"/>
        </w:rPr>
        <w:t>в отчетном году. Значение результата предоставления иных межбюджетных трансфертов устанавливается Соглашением.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13. Отчеты о расходовании средств иных межбюджетных трансфертов представляются органами местного самоуправления муниципальных образований в Камчатском крае по форме и в сроки, установленные Соглашением.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14. Оценка эффективности использования иного межбюджетного трансферта осуществляется путем сравнения фактически достигнутого и установленного Соглашением значения показателя результата использования иного межбюджетного трансферта, предусмотренных Соглашением.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15. В случае нецелевого использования средств иного межбюджетного трансферта муниципальным образованием в Камчатском крае, иной межбюджетный трансферт подлежит возврату в краевой бюджет в течение 30 календарных дней со дня получения уведомления от Министерства.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Министерство направляет указанное уведомление в муниципальное образование в Камчатском крае в течение 30 календарных дней со дня установления факта нецелевого использования иного межбюджетного трансферта.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В случае, если средства иного межбюджетного трансферта не возвращены в срок, установленный абзацем первым настоящей части, Министерство обращается в Министерство финансов Камчатского края для применения мер бюджетного принуждения в соответствии с бюджетным законодательством Российской Федерации.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 xml:space="preserve">16. Не использованные по </w:t>
      </w:r>
      <w:r w:rsidRPr="00D767A1">
        <w:rPr>
          <w:rFonts w:ascii="Times New Roman" w:hAnsi="Times New Roman"/>
          <w:color w:val="000000" w:themeColor="text1"/>
          <w:sz w:val="28"/>
        </w:rPr>
        <w:t xml:space="preserve">состоянию на 1 января текущего финансового года иные межбюджетные трансферты подлежат возврату в доход краевого бюджета в соответствии со </w:t>
      </w:r>
      <w:hyperlink r:id="rId14" w:history="1">
        <w:r w:rsidRPr="00D767A1">
          <w:rPr>
            <w:rFonts w:ascii="Times New Roman" w:hAnsi="Times New Roman"/>
            <w:color w:val="000000" w:themeColor="text1"/>
            <w:sz w:val="28"/>
          </w:rPr>
          <w:t>статьей 242</w:t>
        </w:r>
      </w:hyperlink>
      <w:r w:rsidRPr="00D767A1">
        <w:rPr>
          <w:rFonts w:ascii="Times New Roman" w:hAnsi="Times New Roman"/>
          <w:sz w:val="28"/>
        </w:rPr>
        <w:t xml:space="preserve"> Бюджетного кодекса Российской Федерации.</w:t>
      </w:r>
    </w:p>
    <w:p w:rsidR="00D767A1" w:rsidRPr="00D767A1" w:rsidRDefault="00D767A1" w:rsidP="00D767A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67A1">
        <w:rPr>
          <w:rFonts w:ascii="Times New Roman" w:hAnsi="Times New Roman"/>
          <w:sz w:val="28"/>
        </w:rPr>
        <w:t>17. Контроль за соблюдением муниципальными образованиями в Камчатском крае целей, условий и порядка предоставления и расходования иных межбюджетных трансфертов из краевого бюджета, а также за соблюдением условий Соглашений осуществляется Министерством и органами государственного финансового контроля.».</w:t>
      </w:r>
    </w:p>
    <w:p w:rsidR="00D767A1" w:rsidRPr="00D767A1" w:rsidRDefault="00D767A1" w:rsidP="00D767A1">
      <w:pPr>
        <w:spacing w:after="0" w:line="240" w:lineRule="auto"/>
        <w:outlineLvl w:val="0"/>
        <w:rPr>
          <w:rFonts w:ascii="Times New Roman" w:hAnsi="Times New Roman"/>
          <w:sz w:val="28"/>
        </w:rPr>
      </w:pPr>
    </w:p>
    <w:p w:rsidR="00CC2842" w:rsidRPr="00CC2842" w:rsidRDefault="00CC2842" w:rsidP="00CC2842">
      <w:pPr>
        <w:pStyle w:val="af1"/>
        <w:ind w:left="426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C2842" w:rsidRPr="00CC2842" w:rsidRDefault="00CC2842" w:rsidP="00CC2842">
      <w:pPr>
        <w:pStyle w:val="af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F1EE4" w:rsidRPr="000F1EE4" w:rsidRDefault="000F1EE4" w:rsidP="00A91D10">
      <w:pPr>
        <w:pStyle w:val="af1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</w:rPr>
      </w:pPr>
    </w:p>
    <w:p w:rsidR="002C37F1" w:rsidRDefault="002C37F1" w:rsidP="002C37F1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4E0EC2" w:rsidRDefault="004E0EC2" w:rsidP="000F1EE4">
      <w:pPr>
        <w:ind w:left="5670"/>
        <w:jc w:val="both"/>
        <w:rPr>
          <w:rFonts w:ascii="Times New Roman" w:hAnsi="Times New Roman"/>
          <w:sz w:val="28"/>
        </w:rPr>
      </w:pPr>
    </w:p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p w:rsidR="004E0EC2" w:rsidRDefault="004E0EC2"/>
    <w:sectPr w:rsidR="004E0EC2">
      <w:pgSz w:w="11906" w:h="16838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536" w:rsidRDefault="00625536" w:rsidP="00625536">
      <w:pPr>
        <w:spacing w:after="0" w:line="240" w:lineRule="auto"/>
      </w:pPr>
      <w:r>
        <w:separator/>
      </w:r>
    </w:p>
  </w:endnote>
  <w:endnote w:type="continuationSeparator" w:id="0">
    <w:p w:rsidR="00625536" w:rsidRDefault="00625536" w:rsidP="00625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536" w:rsidRDefault="00625536" w:rsidP="00625536">
      <w:pPr>
        <w:spacing w:after="0" w:line="240" w:lineRule="auto"/>
      </w:pPr>
      <w:r>
        <w:separator/>
      </w:r>
    </w:p>
  </w:footnote>
  <w:footnote w:type="continuationSeparator" w:id="0">
    <w:p w:rsidR="00625536" w:rsidRDefault="00625536" w:rsidP="00625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70168"/>
    <w:multiLevelType w:val="hybridMultilevel"/>
    <w:tmpl w:val="3DD224D0"/>
    <w:lvl w:ilvl="0" w:tplc="FDF2FA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402616"/>
    <w:multiLevelType w:val="hybridMultilevel"/>
    <w:tmpl w:val="2DDE2268"/>
    <w:lvl w:ilvl="0" w:tplc="6D6407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0D043A"/>
    <w:multiLevelType w:val="hybridMultilevel"/>
    <w:tmpl w:val="5E72A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D4F84"/>
    <w:multiLevelType w:val="hybridMultilevel"/>
    <w:tmpl w:val="5E72A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D77AA6"/>
    <w:multiLevelType w:val="hybridMultilevel"/>
    <w:tmpl w:val="3DD224D0"/>
    <w:lvl w:ilvl="0" w:tplc="FDF2FA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C2"/>
    <w:rsid w:val="00006527"/>
    <w:rsid w:val="00052F78"/>
    <w:rsid w:val="000F1EE4"/>
    <w:rsid w:val="001045C6"/>
    <w:rsid w:val="001F50E3"/>
    <w:rsid w:val="002C37F1"/>
    <w:rsid w:val="003C3B03"/>
    <w:rsid w:val="004313FE"/>
    <w:rsid w:val="004E0EC2"/>
    <w:rsid w:val="005D4179"/>
    <w:rsid w:val="00621263"/>
    <w:rsid w:val="00625536"/>
    <w:rsid w:val="006E3962"/>
    <w:rsid w:val="0077169D"/>
    <w:rsid w:val="00822853"/>
    <w:rsid w:val="00836DB6"/>
    <w:rsid w:val="00887A0A"/>
    <w:rsid w:val="008F37CC"/>
    <w:rsid w:val="00907E99"/>
    <w:rsid w:val="0092705B"/>
    <w:rsid w:val="009454A9"/>
    <w:rsid w:val="009A4588"/>
    <w:rsid w:val="009C7A1B"/>
    <w:rsid w:val="00A41F54"/>
    <w:rsid w:val="00A91D10"/>
    <w:rsid w:val="00C73659"/>
    <w:rsid w:val="00CB71D5"/>
    <w:rsid w:val="00CC2842"/>
    <w:rsid w:val="00D5561B"/>
    <w:rsid w:val="00D767A1"/>
    <w:rsid w:val="00E07097"/>
    <w:rsid w:val="00E22844"/>
    <w:rsid w:val="00EA5A2E"/>
    <w:rsid w:val="00EE1BEB"/>
    <w:rsid w:val="00F12C82"/>
    <w:rsid w:val="00F15702"/>
    <w:rsid w:val="00F1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23F6A-7F4F-45E0-882D-056C2482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1"/>
    <w:link w:val="a9"/>
  </w:style>
  <w:style w:type="paragraph" w:customStyle="1" w:styleId="13">
    <w:name w:val="Гиперссылка1"/>
    <w:basedOn w:val="12"/>
    <w:link w:val="ab"/>
    <w:rPr>
      <w:color w:val="0563C1" w:themeColor="hyperlink"/>
      <w:u w:val="single"/>
    </w:rPr>
  </w:style>
  <w:style w:type="character" w:styleId="ab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0F1EE4"/>
    <w:pPr>
      <w:ind w:left="720"/>
      <w:contextualSpacing/>
    </w:pPr>
  </w:style>
  <w:style w:type="table" w:customStyle="1" w:styleId="33">
    <w:name w:val="Сетка таблицы3"/>
    <w:basedOn w:val="a1"/>
    <w:next w:val="af0"/>
    <w:rsid w:val="00822853"/>
    <w:pPr>
      <w:spacing w:after="0" w:line="240" w:lineRule="auto"/>
    </w:pPr>
    <w:rPr>
      <w:rFonts w:ascii="Times New Roman" w:hAnsi="Times New Roman"/>
      <w:color w:val="auto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C251AC283C5133866B91415B76541C2B63EF2905EAED661A693A22A95C5F2F570F7637AD18543518ABD076FF531810FE36F81A19D3C70F" TargetMode="External"/><Relationship Id="rId13" Type="http://schemas.openxmlformats.org/officeDocument/2006/relationships/hyperlink" Target="consultantplus://offline/ref=86AC251AC283C5133866B91415B76541C2B737F99F57AED661A693A22A95C5F2E770AF6C79D3924907C5FB52603F75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6AC251AC283C5133866B91415B76541C2B63EF2905EAED661A693A22A95C5F2F570F7637AD18543518ABD076FF531810FE36F81A19D3C70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048777CC2BF93363B195A48D5A43D6CB444730F09B1BB17A0F129C3C4EED01D0C241A8755B84B2F7016027EF5DB91A41ECB09137393v8xC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AC251AC283C5133866B91415B76541C2B737F99F57AED661A693A22A95C5F2E770AF6C79D3924907C5FB52603F75F" TargetMode="External"/><Relationship Id="rId14" Type="http://schemas.openxmlformats.org/officeDocument/2006/relationships/hyperlink" Target="consultantplus://offline/ref=F048777CC2BF93363B195A48D5A43D6CB444730F09B1BB17A0F129C3C4EED01D0C241A8755B84B2F7016027EF5DB91A41ECB09137393v8x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2992</Words>
  <Characters>17058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40</cp:revision>
  <dcterms:created xsi:type="dcterms:W3CDTF">2023-03-20T21:11:00Z</dcterms:created>
  <dcterms:modified xsi:type="dcterms:W3CDTF">2023-03-20T23:21:00Z</dcterms:modified>
</cp:coreProperties>
</file>