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ВЕСЕННЯЯ ОХОТА НА КАМЧАТКЕ в 2024 году**</w:t>
      </w:r>
    </w:p>
    <w:p w14:paraId="02000000">
      <w:pPr>
        <w:ind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- разрешенные виды, сроки, способы (</w:t>
      </w:r>
      <w:r>
        <w:rPr>
          <w:rFonts w:ascii="Times New Roman" w:hAnsi="Times New Roman"/>
          <w:sz w:val="20"/>
        </w:rPr>
        <w:t>указаны на основании Правил охоты /приказ Минприроды России от 24.07.2020 № 477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Ограничений</w:t>
      </w:r>
      <w:r>
        <w:rPr>
          <w:rFonts w:ascii="Times New Roman" w:hAnsi="Times New Roman"/>
          <w:sz w:val="20"/>
        </w:rPr>
        <w:t xml:space="preserve"> охоты /постановление Губернатора Камчатского края от 12.04.2013 № 50</w:t>
      </w:r>
      <w:r>
        <w:rPr>
          <w:rFonts w:ascii="Times New Roman" w:hAnsi="Times New Roman"/>
          <w:sz w:val="20"/>
        </w:rPr>
        <w:t>/(в редакции от 20.09.2022 № 98)</w:t>
      </w:r>
      <w:r>
        <w:rPr>
          <w:rFonts w:ascii="Times New Roman" w:hAnsi="Times New Roman"/>
          <w:sz w:val="20"/>
        </w:rPr>
        <w:t xml:space="preserve">, и норм допустимой добычи охотничьих ресурсов /приказ </w:t>
      </w:r>
      <w:r>
        <w:rPr>
          <w:rFonts w:ascii="Times New Roman" w:hAnsi="Times New Roman"/>
          <w:sz w:val="20"/>
        </w:rPr>
        <w:t>Министерства природных ресурсов и экологии Камчатского края от 28.01.2022 № 13-П</w:t>
      </w:r>
      <w:r>
        <w:rPr>
          <w:rFonts w:ascii="Times New Roman" w:hAnsi="Times New Roman"/>
          <w:sz w:val="20"/>
        </w:rPr>
        <w:t>/(в редакции от 27.07.2023 № 9-Н</w:t>
      </w:r>
      <w:r>
        <w:rPr>
          <w:rFonts w:ascii="Times New Roman" w:hAnsi="Times New Roman"/>
          <w:sz w:val="20"/>
        </w:rPr>
        <w:t xml:space="preserve">) </w:t>
      </w:r>
    </w:p>
    <w:p w14:paraId="03000000">
      <w:pPr>
        <w:ind/>
        <w:jc w:val="both"/>
        <w:rPr>
          <w:rFonts w:ascii="Times New Roman" w:hAnsi="Times New Roman"/>
          <w:highlight w:val="yellow"/>
        </w:rPr>
      </w:pPr>
    </w:p>
    <w:tbl>
      <w:tblPr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93"/>
        <w:gridCol w:w="2887"/>
        <w:gridCol w:w="1440"/>
        <w:gridCol w:w="2640"/>
      </w:tblGrid>
      <w:tr>
        <w:trPr>
          <w:trHeight w:hRule="atLeast" w:val="1885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ВИД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кроме видов, подвидов, популяций, занесенных в Красную книгу Российской Федерации и (или) Красную книгу Камчатского края)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СРОКИ охоты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Разрешенные районы охоты Камчатского края </w:t>
            </w:r>
            <w:r>
              <w:rPr>
                <w:rFonts w:ascii="Times New Roman" w:hAnsi="Times New Roman"/>
                <w:sz w:val="20"/>
              </w:rPr>
              <w:t>(с учетом планируемых ограничений, кроме ООПТ федерального значения)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Некоторые особенности охоты</w:t>
            </w:r>
          </w:p>
          <w:p w14:paraId="0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(разрешенные, либо запрещенные орудия охоты, способы охоты, нормы добычи, запреты в отношении охотничьих ресурсов определенного пола и возраста) (помимо общих требований, установленных Правилами охоты)</w:t>
            </w:r>
          </w:p>
        </w:tc>
      </w:tr>
      <w:tr>
        <w:trPr>
          <w:trHeight w:hRule="atLeast" w:val="920"/>
        </w:trP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Медведь бурый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 11 апреля 2024 по 10 июня 2024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Все, где вид обитает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-добывается на основании ежегодно устанавливаемых объемов (лимитов, квот); </w:t>
            </w:r>
          </w:p>
          <w:p w14:paraId="0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-запрещена добыча медведей в возрасте менее одного года, самок имеющих медвежат</w:t>
            </w:r>
          </w:p>
          <w:p w14:paraId="0E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Боровая дичь (каменный глухарь) весной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 второй субботы мая (в 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году с 11</w:t>
            </w:r>
            <w:r>
              <w:rPr>
                <w:rFonts w:ascii="Times New Roman" w:hAnsi="Times New Roman"/>
                <w:sz w:val="20"/>
              </w:rPr>
              <w:t xml:space="preserve"> по 2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мая)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Все, где вид обитает</w:t>
            </w:r>
          </w:p>
        </w:tc>
        <w:tc>
          <w:tcPr>
            <w:tcW w:type="dxa" w:w="2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both"/>
              <w:rPr>
                <w:rFonts w:ascii="Times New Roman" w:hAnsi="Times New Roman"/>
                <w:b w:val="1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-на селезней уток с использованием живых подсадных (манных) уток – </w:t>
            </w:r>
            <w:r>
              <w:rPr>
                <w:rFonts w:ascii="Times New Roman" w:hAnsi="Times New Roman"/>
                <w:sz w:val="20"/>
              </w:rPr>
              <w:t xml:space="preserve">со второй субботы апреля (в 2024 году с 13 апреля по </w:t>
            </w:r>
            <w:r>
              <w:rPr>
                <w:rFonts w:ascii="Times New Roman" w:hAnsi="Times New Roman"/>
                <w:sz w:val="20"/>
                <w:u w:val="single"/>
              </w:rPr>
              <w:t>17 мая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>)</w:t>
            </w:r>
          </w:p>
          <w:p w14:paraId="13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-нормы добычи: каменный глухарь – 1 в сезон, гуси – 20 в сезон, утки – 10 в день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  <w:p w14:paraId="15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ВАЖНО! С 1 января 2021 запрещено применение: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 охотничьего огнестрельного гладкоствольного оружия для охоты на пернатую дичь, снаряженного дробью (картечью) крупнее пяти миллиметров и пулями;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 охотничьего огнестрельного длинноствольного оружия с нарезным стволом и нарезных стволов охотничьего огнестрельного комбинированного оружия при осуществлении любительской и спортивной ох</w:t>
            </w:r>
            <w:r>
              <w:rPr>
                <w:rFonts w:ascii="Times New Roman" w:hAnsi="Times New Roman"/>
                <w:b w:val="1"/>
                <w:sz w:val="20"/>
              </w:rPr>
              <w:t>оты для охоты на пернатую дичь.</w:t>
            </w:r>
          </w:p>
        </w:tc>
      </w:tr>
      <w:tr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Водоплавающая дичь</w:t>
            </w:r>
            <w:r>
              <w:rPr>
                <w:rFonts w:ascii="Times New Roman" w:hAnsi="Times New Roman"/>
                <w:sz w:val="20"/>
              </w:rPr>
              <w:t xml:space="preserve">               </w:t>
            </w:r>
          </w:p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(гуси, утки)</w:t>
            </w:r>
            <w:r>
              <w:rPr>
                <w:rFonts w:ascii="Times New Roman" w:hAnsi="Times New Roman"/>
                <w:sz w:val="20"/>
              </w:rPr>
              <w:t xml:space="preserve"> весной</w:t>
            </w:r>
          </w:p>
          <w:p w14:paraId="1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оки дифференцированы по районам края*: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западная часть </w:t>
            </w:r>
            <w:r>
              <w:rPr>
                <w:rFonts w:ascii="Times New Roman" w:hAnsi="Times New Roman"/>
                <w:sz w:val="20"/>
              </w:rPr>
              <w:t>Быстринского</w:t>
            </w:r>
            <w:r>
              <w:rPr>
                <w:rFonts w:ascii="Times New Roman" w:hAnsi="Times New Roman"/>
                <w:sz w:val="20"/>
              </w:rPr>
              <w:t xml:space="preserve">, южная часть </w:t>
            </w:r>
            <w:r>
              <w:rPr>
                <w:rFonts w:ascii="Times New Roman" w:hAnsi="Times New Roman"/>
                <w:sz w:val="20"/>
              </w:rPr>
              <w:t>Усть</w:t>
            </w:r>
            <w:r>
              <w:rPr>
                <w:rFonts w:ascii="Times New Roman" w:hAnsi="Times New Roman"/>
                <w:sz w:val="20"/>
              </w:rPr>
              <w:t>-Большерецкого –</w:t>
            </w:r>
            <w:r>
              <w:rPr>
                <w:rFonts w:ascii="Times New Roman" w:hAnsi="Times New Roman"/>
                <w:sz w:val="20"/>
              </w:rPr>
              <w:t xml:space="preserve"> с </w:t>
            </w:r>
            <w:r>
              <w:rPr>
                <w:rFonts w:ascii="Times New Roman" w:hAnsi="Times New Roman"/>
                <w:sz w:val="20"/>
              </w:rPr>
              <w:t>четвертой субботы апреля продолжительностью 10 календарных дней (в 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году с 27</w:t>
            </w:r>
            <w:r>
              <w:rPr>
                <w:rFonts w:ascii="Times New Roman" w:hAnsi="Times New Roman"/>
                <w:sz w:val="20"/>
              </w:rPr>
              <w:t xml:space="preserve"> апреля по 6</w:t>
            </w:r>
            <w:r>
              <w:rPr>
                <w:rFonts w:ascii="Times New Roman" w:hAnsi="Times New Roman"/>
                <w:sz w:val="20"/>
              </w:rPr>
              <w:t xml:space="preserve"> мая)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1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Алеутский, восточная часть </w:t>
            </w:r>
            <w:r>
              <w:rPr>
                <w:rFonts w:ascii="Times New Roman" w:hAnsi="Times New Roman"/>
                <w:sz w:val="20"/>
              </w:rPr>
              <w:t>Быстринского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Елизовский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Мильковский</w:t>
            </w:r>
            <w:r>
              <w:rPr>
                <w:rFonts w:ascii="Times New Roman" w:hAnsi="Times New Roman"/>
                <w:sz w:val="20"/>
              </w:rPr>
              <w:t xml:space="preserve">, Соболевский, северная часть </w:t>
            </w:r>
            <w:r>
              <w:rPr>
                <w:rFonts w:ascii="Times New Roman" w:hAnsi="Times New Roman"/>
                <w:sz w:val="20"/>
              </w:rPr>
              <w:t>Усть</w:t>
            </w:r>
            <w:r>
              <w:rPr>
                <w:rFonts w:ascii="Times New Roman" w:hAnsi="Times New Roman"/>
                <w:sz w:val="20"/>
              </w:rPr>
              <w:t xml:space="preserve">-Большерецкого, юго-западная часть </w:t>
            </w:r>
            <w:r>
              <w:rPr>
                <w:rFonts w:ascii="Times New Roman" w:hAnsi="Times New Roman"/>
                <w:sz w:val="20"/>
              </w:rPr>
              <w:t>Усть</w:t>
            </w:r>
            <w:r>
              <w:rPr>
                <w:rFonts w:ascii="Times New Roman" w:hAnsi="Times New Roman"/>
                <w:sz w:val="20"/>
              </w:rPr>
              <w:t xml:space="preserve">-Камчатского, северная часть </w:t>
            </w:r>
            <w:r>
              <w:rPr>
                <w:rFonts w:ascii="Times New Roman" w:hAnsi="Times New Roman"/>
                <w:sz w:val="20"/>
              </w:rPr>
              <w:t>Карагинского</w:t>
            </w:r>
            <w:r>
              <w:rPr>
                <w:rFonts w:ascii="Times New Roman" w:hAnsi="Times New Roman"/>
                <w:sz w:val="20"/>
              </w:rPr>
              <w:t xml:space="preserve">, южная часть </w:t>
            </w:r>
            <w:r>
              <w:rPr>
                <w:rFonts w:ascii="Times New Roman" w:hAnsi="Times New Roman"/>
                <w:sz w:val="20"/>
              </w:rPr>
              <w:t>Тигильского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с 01 мая по 10 мая;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южная часть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Карагинского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с 14 мая по 23 мая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</w:t>
            </w:r>
            <w:r>
              <w:rPr>
                <w:rFonts w:ascii="Times New Roman" w:hAnsi="Times New Roman"/>
                <w:sz w:val="20"/>
              </w:rPr>
              <w:t>-Камчатский (кроме юго-западной части и озера «Нерпичье») – с 05 мая по 14 мая;</w:t>
            </w:r>
          </w:p>
          <w:p w14:paraId="2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Усть</w:t>
            </w:r>
            <w:r>
              <w:rPr>
                <w:rFonts w:ascii="Times New Roman" w:hAnsi="Times New Roman"/>
                <w:sz w:val="20"/>
              </w:rPr>
              <w:t>-Камчатский район (охотничье угодье № 44 «Озеро Нерпичье») – со второй субботы мая продолжительностью 10 календарных дней (в 2024 году с 11 мая по 20 мая);</w:t>
            </w:r>
          </w:p>
          <w:p w14:paraId="2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Пенжинский</w:t>
            </w:r>
            <w:r>
              <w:rPr>
                <w:rFonts w:ascii="Times New Roman" w:hAnsi="Times New Roman"/>
                <w:sz w:val="20"/>
              </w:rPr>
              <w:t>, севе</w:t>
            </w:r>
            <w:r>
              <w:rPr>
                <w:rFonts w:ascii="Times New Roman" w:hAnsi="Times New Roman"/>
                <w:sz w:val="20"/>
              </w:rPr>
              <w:t xml:space="preserve">рная часть </w:t>
            </w:r>
            <w:r>
              <w:rPr>
                <w:rFonts w:ascii="Times New Roman" w:hAnsi="Times New Roman"/>
                <w:sz w:val="20"/>
              </w:rPr>
              <w:t>Тигильского</w:t>
            </w:r>
            <w:r>
              <w:rPr>
                <w:rFonts w:ascii="Times New Roman" w:hAnsi="Times New Roman"/>
                <w:sz w:val="20"/>
              </w:rPr>
              <w:t xml:space="preserve"> – с 08 мая по 17 мая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</w:t>
            </w:r>
          </w:p>
        </w:tc>
        <w:tc>
          <w:tcPr>
            <w:tcW w:type="dxa" w:w="2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23000000">
      <w:pPr>
        <w:widowControl w:val="0"/>
        <w:ind w:firstLine="0" w:left="900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</w:rPr>
        <w:t>*</w:t>
      </w:r>
      <w:r>
        <w:rPr>
          <w:rFonts w:ascii="Times New Roman" w:hAnsi="Times New Roman"/>
          <w:b w:val="1"/>
          <w:sz w:val="20"/>
        </w:rPr>
        <w:t>детализация</w:t>
      </w:r>
      <w:r>
        <w:rPr>
          <w:rFonts w:ascii="Times New Roman" w:hAnsi="Times New Roman"/>
          <w:b w:val="1"/>
          <w:sz w:val="22"/>
        </w:rPr>
        <w:t>,</w:t>
      </w:r>
      <w:r>
        <w:rPr>
          <w:rFonts w:ascii="Times New Roman" w:hAnsi="Times New Roman"/>
          <w:b w:val="1"/>
          <w:sz w:val="22"/>
        </w:rPr>
        <w:t xml:space="preserve"> Сроки весенней охоты на водоплавающую дичь (гуси, селезни уток):</w:t>
      </w:r>
    </w:p>
    <w:p w14:paraId="24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а) в охотничьих угодьях, расположенных в границах Быстринского (охотничьи угодья N 1 "Кекукский", N 2 "Текловаямский", N 3 "Рыбный", N 4 "Чабинский", N 5 "Верхнетихой", N 6 "Янпатский", N 10 "Алией"), Усть-Большерецкого (к югу от русел рек Большая - Плотникова) районов Камчатского края - с 27 апреля 2024 по 6 мая 2024;</w:t>
      </w:r>
    </w:p>
    <w:p w14:paraId="25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б) в охотничьих угодьях, расположенных в границах Алеутского, Быстринского (охотничьи угодья N 9 "Быстринский", N 11 "Скара", N 12 "Уксичанский", N 13 "Тополовский", N 16 "Романовский", N 17 "Рассошинский", N 18 "Сопочный", N 19 "Сухарики", N 20 "Тваянский", N 21 "Ичинский", N 22 "Семеновский", N 23 "Кимитинский", N 25 "Облуковинское", N 28 "Андриановский", N 29 "Копылье"), Елизовского, Мильковского, Соболевского, Усть-Большерецкого (к северу от русел рек Большая - Плотникова), Усть-Камчатского (юго-западнее реки Двухюрточная, включая охотничьи угодья N 14 "Белая", N 26 "Левая Половинная", N 28 "Правая Половиная-Крюки", N 29 "Крерук", N 30 "Чаша", N 31 "Кахтун", N 32 "Фомкин", N 42 "Крапивинский", N 45 "Западный"), Карагинского (севернее водораздела рек Кичига-Паклаваям, Кичига-Сигаиэктап, включая охотничьи угодья N 1 "Паклаваям", N 17 "Кичигинский", N 18 "Валоваямский", N 19 "Охотский", N 20 "Парапольское"), Тигильского (южнее границы речного бассейна реки Тигиль) районов Камчатского края - с 1 мая по 10 мая;</w:t>
      </w:r>
    </w:p>
    <w:p w14:paraId="26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в) в охотничьих угодьях, расположенных в границах Карагинского (южнее водораздела рек Кичига-Паклаваям, Кичига-Сигаиэктап, включая охотничьи угодья N 2 "Тымлат", N 3 "Карага", N 4 "Макаровка", N 5 "Карагинское", N 7 "Рысь", N 8 "Ука", N 9 "Селинг", N 11 "Маламваям", N 12 "Ольховый", N 13 "Озерновский", N 15 "Ивашкинский", N 16 "Дранкинский", N 22 "Ивашкинский-Приморский", N 23 "Карагинский остров", N 24 "Лагуна Казарок") района Камчатского края - с 14 мая по 23 мая;</w:t>
      </w:r>
    </w:p>
    <w:p w14:paraId="27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г) в охотничьих угодьях, расположенных в границах Усть-Камчатского (восточнее реки Двухюрточная, включая охотничьи угодья N 1 "Еловые дали", N 2 "Кура", N 4 "Озерная", N 5 "Левая", N 10 "Юрьевский", N 11 "Алтын", N 12 "Верхняя Двухюрточная", N 13 "Харчинский", N 16 "Каменское", N 17 "Листвяги", N 18 "Ильчинец", N 19 "Новиковский", N 20 "Радуга", N 21 "Халница", N 23 "Столбовое", N 25 "Култучный", N 33 "Хапица", N 35 "Ажабачье", N 36 "Шубертовский", N 37 "Пятая", N 38 "Быстрая", N 39 "Андриановка", N 40 "Сторож", N 41 "Чажма", N 43 "Ключевской", N 46 "Восточный") района Камчатского края - с 5 мая по 14 мая;</w:t>
      </w:r>
    </w:p>
    <w:p w14:paraId="28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д) в охотничьих угодьях Олюторского, Пенжинского, Тигильского (речной бассейн реки Тигиль и территория севернее границы речного бассейна реки Тигиль) районов Камчатского края - с 8 мая по 17 мая;</w:t>
      </w:r>
    </w:p>
    <w:p w14:paraId="29000000">
      <w:pPr>
        <w:spacing w:before="160"/>
        <w:ind w:firstLine="54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е) в охотничьих угодьях, расположенных в границах Усть-Камчатского (охотничье угодье N 44 "Озеро Нерпичье") района Камчатского края – с 11 мая 2024 по 20 мая 2024.</w:t>
      </w:r>
    </w:p>
    <w:p w14:paraId="2A000000">
      <w:pPr>
        <w:pStyle w:val="Style_1"/>
        <w:rPr>
          <w:rFonts w:ascii="Times New Roman" w:hAnsi="Times New Roman"/>
        </w:rPr>
      </w:pPr>
    </w:p>
    <w:p w14:paraId="2B000000">
      <w:pPr>
        <w:pStyle w:val="Style_1"/>
        <w:rPr>
          <w:rFonts w:ascii="Times New Roman" w:hAnsi="Times New Roman"/>
        </w:rPr>
      </w:pPr>
    </w:p>
    <w:p w14:paraId="2C000000">
      <w:pPr>
        <w:pStyle w:val="Style_1"/>
        <w:ind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**возможны соответствующие изменения в случае внесения изменений в законодательство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2024-01-23T20:44:37Z</dcterms:modified>
</cp:coreProperties>
</file>