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ОХОТА НА КАМЧАТКЕ</w:t>
      </w:r>
      <w:r>
        <w:rPr>
          <w:b w:val="1"/>
        </w:rPr>
        <w:t xml:space="preserve"> (</w:t>
      </w:r>
      <w:r>
        <w:rPr>
          <w:b w:val="1"/>
        </w:rPr>
        <w:t>летне-осенняя, осенне-зимняя се</w:t>
      </w:r>
      <w:r>
        <w:rPr>
          <w:b w:val="1"/>
        </w:rPr>
        <w:t>зон</w:t>
      </w:r>
      <w:r>
        <w:rPr>
          <w:b w:val="1"/>
        </w:rPr>
        <w:t>а</w:t>
      </w:r>
      <w:r>
        <w:rPr>
          <w:b w:val="1"/>
        </w:rPr>
        <w:t xml:space="preserve"> 2023-2024)</w:t>
      </w:r>
      <w:r>
        <w:rPr>
          <w:b w:val="1"/>
        </w:rPr>
        <w:t xml:space="preserve"> </w:t>
      </w:r>
    </w:p>
    <w:p w14:paraId="02000000">
      <w:pPr>
        <w:ind/>
        <w:jc w:val="both"/>
        <w:rPr>
          <w:highlight w:val="yellow"/>
        </w:rPr>
      </w:pPr>
      <w:r>
        <w:t>- разрешенные виды, сроки, способы (</w:t>
      </w:r>
      <w:r>
        <w:rPr>
          <w:sz w:val="20"/>
        </w:rPr>
        <w:t>указаны на основании Правил охоты /приказ Минприроды России от 24.07.2020 № 477</w:t>
      </w:r>
      <w:r>
        <w:rPr>
          <w:sz w:val="20"/>
        </w:rPr>
        <w:t>/</w:t>
      </w:r>
      <w:r>
        <w:rPr>
          <w:sz w:val="20"/>
        </w:rPr>
        <w:t xml:space="preserve">, </w:t>
      </w:r>
      <w:r>
        <w:rPr>
          <w:sz w:val="20"/>
        </w:rPr>
        <w:t>Ограничений</w:t>
      </w:r>
      <w:r>
        <w:rPr>
          <w:sz w:val="20"/>
        </w:rPr>
        <w:t xml:space="preserve"> охоты /постановление Губернатора Камчатского края от 12.04.2013 № 50</w:t>
      </w:r>
      <w:r>
        <w:rPr>
          <w:sz w:val="20"/>
        </w:rPr>
        <w:t>/(в редакции от 20.09.2022 № 98)</w:t>
      </w:r>
      <w:r>
        <w:rPr>
          <w:sz w:val="20"/>
        </w:rPr>
        <w:t xml:space="preserve">, и норм допустимой добычи охотничьих ресурсов /приказ </w:t>
      </w:r>
      <w:r>
        <w:rPr>
          <w:sz w:val="20"/>
        </w:rPr>
        <w:t>Министерства природных ресурсов и экологии Камчатского края от 28.01.2022 № 13-П</w:t>
      </w:r>
      <w:r>
        <w:rPr>
          <w:sz w:val="20"/>
        </w:rPr>
        <w:t>/(в редакции от 27.07.2023 № 9-Н</w:t>
      </w:r>
      <w:r>
        <w:rPr>
          <w:sz w:val="20"/>
        </w:rPr>
        <w:t xml:space="preserve">) </w:t>
      </w:r>
    </w:p>
    <w:p w14:paraId="03000000">
      <w:pPr>
        <w:ind/>
        <w:jc w:val="both"/>
        <w:rPr>
          <w:highlight w:val="yellow"/>
        </w:rPr>
      </w:pPr>
    </w:p>
    <w:p w14:paraId="04000000">
      <w:pPr>
        <w:ind/>
        <w:jc w:val="both"/>
        <w:rPr>
          <w:highlight w:val="yellow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89"/>
        <w:gridCol w:w="1363"/>
        <w:gridCol w:w="1771"/>
        <w:gridCol w:w="2317"/>
        <w:gridCol w:w="1772"/>
      </w:tblGrid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ВИД</w:t>
            </w:r>
            <w:r>
              <w:t xml:space="preserve"> (</w:t>
            </w:r>
            <w:r>
              <w:rPr>
                <w:sz w:val="16"/>
              </w:rPr>
              <w:t>кроме видов, подвидов, популяций, занесенных в Красную книгу Российской Федерации и (или) Красную книгу Камчатского края)</w:t>
            </w:r>
            <w:r>
              <w:rPr>
                <w:sz w:val="16"/>
              </w:rPr>
              <w:br/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СРОКИ охоты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Разрешенные районы охоты Камчатского края </w:t>
            </w:r>
            <w:r>
              <w:rPr>
                <w:sz w:val="16"/>
              </w:rPr>
              <w:t>(с учетом ограничений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утвержденных лимитов, положений об ООПТ, </w:t>
            </w:r>
            <w:r>
              <w:rPr>
                <w:sz w:val="16"/>
              </w:rPr>
              <w:t>кроме ООПТ федерального значения)</w:t>
            </w:r>
          </w:p>
        </w:tc>
        <w:tc>
          <w:tcPr>
            <w:tcW w:type="dxa" w:w="2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Некоторые особенности охоты</w:t>
            </w:r>
          </w:p>
          <w:p w14:paraId="09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</w:t>
            </w:r>
            <w:r>
              <w:rPr>
                <w:sz w:val="16"/>
              </w:rPr>
              <w:t>(разрешенные, либо запрещенные орудия охоты, способы охоты, нормы добычи, запреты в отношении охотничьих ресурсов определенного пола и возраста) (помимо общих требований, установленных Правилами охоты)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Налоговый сбор*, руб.</w:t>
            </w:r>
          </w:p>
        </w:tc>
      </w:tr>
      <w:tr>
        <w:trPr>
          <w:trHeight w:hRule="atLeast" w:val="1057"/>
        </w:trP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Лось</w:t>
            </w:r>
          </w:p>
          <w:p w14:paraId="0C000000">
            <w:pPr>
              <w:rPr>
                <w:sz w:val="16"/>
              </w:rPr>
            </w:pPr>
            <w:r>
              <w:rPr>
                <w:sz w:val="16"/>
              </w:rPr>
              <w:t xml:space="preserve">все половозрастные группы     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 15 сентября 2023 по 10 января 2024 </w:t>
            </w:r>
          </w:p>
        </w:tc>
        <w:tc>
          <w:tcPr>
            <w:tcW w:type="dxa" w:w="1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sz w:val="16"/>
              </w:rPr>
            </w:pPr>
            <w:r>
              <w:rPr>
                <w:sz w:val="16"/>
              </w:rPr>
              <w:t>Елизовский, Соболевский,</w:t>
            </w:r>
          </w:p>
          <w:p w14:paraId="0F000000">
            <w:pPr>
              <w:rPr>
                <w:sz w:val="16"/>
              </w:rPr>
            </w:pPr>
            <w:r>
              <w:rPr>
                <w:sz w:val="16"/>
              </w:rPr>
              <w:t xml:space="preserve">Быстринский, Мильковский, </w:t>
            </w:r>
          </w:p>
          <w:p w14:paraId="10000000">
            <w:pPr>
              <w:rPr>
                <w:sz w:val="16"/>
              </w:rPr>
            </w:pPr>
            <w:r>
              <w:rPr>
                <w:sz w:val="16"/>
              </w:rPr>
              <w:t>Усть-Камчатский, Тигильский, Карагинский.</w:t>
            </w:r>
          </w:p>
          <w:p w14:paraId="11000000">
            <w:pPr>
              <w:rPr>
                <w:sz w:val="16"/>
              </w:rPr>
            </w:pPr>
            <w:r>
              <w:rPr>
                <w:sz w:val="16"/>
              </w:rPr>
              <w:t>Пенжинский (частично)</w:t>
            </w:r>
          </w:p>
        </w:tc>
        <w:tc>
          <w:tcPr>
            <w:tcW w:type="dxa" w:w="2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-добывается на основании ежегодно устанавливаемых объемов (лимитов, квот); </w:t>
            </w:r>
          </w:p>
          <w:p w14:paraId="13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 –взрослая особь</w:t>
            </w:r>
          </w:p>
          <w:p w14:paraId="15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750,0 -особь до года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b w:val="1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самцы во время гона           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01 сентября 2023 по 30 сентября 2024</w:t>
            </w:r>
          </w:p>
        </w:tc>
        <w:tc>
          <w:tcPr>
            <w:tcW w:type="dxa" w:w="1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</w:t>
            </w:r>
          </w:p>
        </w:tc>
      </w:tr>
      <w:tr>
        <w:trPr>
          <w:trHeight w:hRule="atLeast" w:val="920"/>
        </w:trP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16"/>
              </w:rPr>
            </w:pPr>
            <w:r>
              <w:rPr>
                <w:b w:val="1"/>
                <w:sz w:val="16"/>
              </w:rPr>
              <w:t xml:space="preserve">Медведь бурый             </w:t>
            </w:r>
            <w:r>
              <w:rPr>
                <w:sz w:val="16"/>
              </w:rPr>
              <w:t xml:space="preserve">                       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 01 августа 202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 по 20 декабря </w:t>
            </w:r>
            <w:r>
              <w:rPr>
                <w:sz w:val="16"/>
              </w:rPr>
              <w:t xml:space="preserve">2023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16"/>
              </w:rPr>
            </w:pPr>
            <w:r>
              <w:rPr>
                <w:sz w:val="16"/>
              </w:rPr>
              <w:t>все</w:t>
            </w:r>
          </w:p>
        </w:tc>
        <w:tc>
          <w:tcPr>
            <w:tcW w:type="dxa" w:w="2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-добывается на основании ежегодно устанавливаемых объемов (лимитов, квот); </w:t>
            </w:r>
          </w:p>
          <w:p w14:paraId="1D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-запрещена добыча медведей в возрасте менее одного года, самок имеющих ме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вежат;</w:t>
            </w:r>
          </w:p>
          <w:p w14:paraId="1E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допускается охота с метательным стрелковым оружием, не имеющим механизмов фиксации упругих элементов в напряженном состоянии</w:t>
            </w:r>
          </w:p>
          <w:p w14:paraId="1F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16"/>
              </w:rPr>
            </w:pPr>
            <w:r>
              <w:rPr>
                <w:sz w:val="16"/>
              </w:rPr>
              <w:t>6000,0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Снежный баран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16"/>
              </w:rPr>
            </w:pPr>
            <w:r>
              <w:rPr>
                <w:sz w:val="16"/>
              </w:rPr>
              <w:t xml:space="preserve">с 01 августа </w:t>
            </w: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по 30 ноября</w:t>
            </w: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23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type="dxa" w:w="2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16"/>
              </w:rPr>
            </w:pPr>
            <w:r>
              <w:rPr>
                <w:sz w:val="16"/>
              </w:rPr>
              <w:t xml:space="preserve">-добывается на основании ежегодно устанавливаемых объемов (лимитов, квот)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16"/>
              </w:rPr>
            </w:pPr>
            <w:r>
              <w:rPr>
                <w:sz w:val="16"/>
              </w:rPr>
              <w:t>600,0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Сурок камчатский, суслик камчатский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16"/>
              </w:rPr>
            </w:pPr>
            <w:r>
              <w:rPr>
                <w:sz w:val="16"/>
              </w:rPr>
              <w:t xml:space="preserve">с 15 июня </w:t>
            </w: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по 30 сентября</w:t>
            </w:r>
            <w:r>
              <w:rPr>
                <w:sz w:val="16"/>
              </w:rPr>
              <w:t xml:space="preserve"> 2023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type="dxa" w:w="2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-соболь, выдра, рысь добываются на основании ежегодно устанавливаемых объемов (лимитов, квот);</w:t>
            </w:r>
          </w:p>
          <w:p w14:paraId="2A000000">
            <w:pPr>
              <w:widowControl w:val="0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-запрещается использование стандартных ногозахватывающих удерживающих капканов со стальными дугами для отлова волка, рыси, соболя, горностая, выдры, ондатры;</w:t>
            </w:r>
          </w:p>
          <w:p w14:paraId="2B000000">
            <w:pPr>
              <w:widowControl w:val="0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-охота на ласку, сусликов осуществляется только при помощи самоловов;</w:t>
            </w:r>
          </w:p>
          <w:p w14:paraId="2C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b w:val="1"/>
                <w:sz w:val="16"/>
              </w:rPr>
              <w:t>нормы добычи: заяц-беляк – 10 в день, на остальные нелимитируемые пушные виды норма добычи в день, либо в сезон не устанавливается;</w:t>
            </w:r>
          </w:p>
          <w:p w14:paraId="2D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хота в целях регулирования численности волка имеет свои особенности – отсутствуют ограничения по срокам охоты, а также по полу, возрасту и количеству добываемых волков, допускается применение разных способов охоты, в том числе с использованием капканов и автомототранспортных средств, указываемых в соответствующих приказах уполномоченного органа исполнительной власти Камчатского края</w:t>
            </w:r>
          </w:p>
          <w:p w14:paraId="2E000000">
            <w:pPr>
              <w:ind/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Допускается использование петель для отлова волка и зайца-беляка в случае осуществления промысловой охоты и охоты в целях регулирования численности</w:t>
            </w:r>
          </w:p>
          <w:p w14:paraId="2F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ВАЖНО! С 1 января 2021 запрещ</w:t>
            </w:r>
            <w:r>
              <w:rPr>
                <w:b w:val="1"/>
                <w:sz w:val="16"/>
              </w:rPr>
              <w:t>ено</w:t>
            </w:r>
            <w:r>
              <w:rPr>
                <w:b w:val="1"/>
                <w:sz w:val="16"/>
              </w:rPr>
              <w:t xml:space="preserve"> применение:</w:t>
            </w:r>
          </w:p>
          <w:p w14:paraId="30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- охотничьего огнестрельного </w:t>
            </w:r>
            <w:r>
              <w:rPr>
                <w:sz w:val="16"/>
              </w:rPr>
              <w:t>длинноствольного оружия с нарезным стволом и нарезных стволов охотничьего огнестрельного комбинированного оружия</w:t>
            </w:r>
            <w:r>
              <w:rPr>
                <w:b w:val="1"/>
                <w:sz w:val="16"/>
              </w:rPr>
              <w:t xml:space="preserve"> калибром более 5,7 миллиметров для охоты на зайца-беляка, белку, горностая, норки и более 8 мм для охоты на сурков, росомаху, рысь</w:t>
            </w:r>
            <w:r>
              <w:rPr>
                <w:b w:val="1"/>
                <w:sz w:val="16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16"/>
              </w:rPr>
            </w:pPr>
            <w:r>
              <w:rPr>
                <w:sz w:val="16"/>
              </w:rPr>
              <w:t>Сурок – 60,0</w:t>
            </w:r>
          </w:p>
          <w:p w14:paraId="32000000">
            <w:pPr>
              <w:rPr>
                <w:sz w:val="16"/>
              </w:rPr>
            </w:pPr>
            <w:r>
              <w:rPr>
                <w:sz w:val="16"/>
              </w:rPr>
              <w:t>Суслик – не установлен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Заяц-беляк, лисица                  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16"/>
              </w:rPr>
            </w:pPr>
            <w:r>
              <w:rPr>
                <w:sz w:val="16"/>
              </w:rPr>
              <w:t xml:space="preserve">с 15 сентября </w:t>
            </w: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по 29 февраля</w:t>
            </w:r>
            <w:r>
              <w:rPr>
                <w:sz w:val="16"/>
              </w:rPr>
              <w:t xml:space="preserve"> 2024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Волк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16"/>
              </w:rPr>
            </w:pPr>
            <w:r>
              <w:rPr>
                <w:sz w:val="16"/>
              </w:rPr>
              <w:t>с 1 августа 2023 по 31 марта 2024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16"/>
              </w:rPr>
            </w:pP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Ондатра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16"/>
              </w:rPr>
            </w:pPr>
            <w:r>
              <w:rPr>
                <w:sz w:val="16"/>
              </w:rPr>
              <w:t xml:space="preserve">с 10 сентября </w:t>
            </w: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по 29 февраля</w:t>
            </w:r>
            <w:r>
              <w:rPr>
                <w:sz w:val="16"/>
              </w:rPr>
              <w:t xml:space="preserve"> 2024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16"/>
              </w:rPr>
            </w:pPr>
            <w:r>
              <w:rPr>
                <w:sz w:val="16"/>
              </w:rPr>
              <w:t>Выдра – 120,0</w:t>
            </w:r>
          </w:p>
          <w:p w14:paraId="3F000000">
            <w:pPr>
              <w:rPr>
                <w:sz w:val="16"/>
              </w:rPr>
            </w:pPr>
            <w:r>
              <w:rPr>
                <w:sz w:val="16"/>
              </w:rPr>
              <w:t>Ондатра – не установлен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Выдра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с 01 октября 2023 по 29 февраля 2029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 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16"/>
              </w:rPr>
            </w:pP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Норка американская, белка обыкновенная, рысь, соболь, горностай, ласка, росомаха                             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16"/>
              </w:rPr>
            </w:pPr>
            <w:r>
              <w:rPr>
                <w:sz w:val="16"/>
              </w:rPr>
              <w:t xml:space="preserve">с 01 ноября </w:t>
            </w:r>
            <w:r>
              <w:rPr>
                <w:sz w:val="16"/>
              </w:rPr>
              <w:t xml:space="preserve">2023 </w:t>
            </w:r>
            <w:r>
              <w:rPr>
                <w:sz w:val="16"/>
              </w:rPr>
              <w:t>по 29 февраля</w:t>
            </w:r>
            <w:r>
              <w:rPr>
                <w:sz w:val="16"/>
              </w:rPr>
              <w:t xml:space="preserve"> 2024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 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16"/>
              </w:rPr>
            </w:pPr>
            <w:r>
              <w:rPr>
                <w:sz w:val="16"/>
              </w:rPr>
              <w:t>Рысь-450,0</w:t>
            </w:r>
          </w:p>
          <w:p w14:paraId="48000000">
            <w:pPr>
              <w:rPr>
                <w:sz w:val="16"/>
              </w:rPr>
            </w:pPr>
            <w:r>
              <w:rPr>
                <w:sz w:val="16"/>
              </w:rPr>
              <w:t>Соболь-120,0</w:t>
            </w:r>
          </w:p>
          <w:p w14:paraId="49000000">
            <w:pPr>
              <w:rPr>
                <w:sz w:val="16"/>
              </w:rPr>
            </w:pPr>
            <w:r>
              <w:rPr>
                <w:sz w:val="16"/>
              </w:rPr>
              <w:t>Росомаха-450,0</w:t>
            </w:r>
          </w:p>
          <w:p w14:paraId="4A000000">
            <w:pPr>
              <w:rPr>
                <w:sz w:val="16"/>
              </w:rPr>
            </w:pPr>
            <w:r>
              <w:rPr>
                <w:sz w:val="16"/>
              </w:rPr>
              <w:t>На остальные виды – не установлен</w:t>
            </w: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b w:val="1"/>
                <w:sz w:val="16"/>
                <w:shd w:fill="FFD821" w:val="clear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16"/>
                <w:shd w:fill="FFD821" w:val="clear"/>
              </w:rPr>
            </w:pP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  <w:shd w:fill="FFD821" w:val="clear"/>
              </w:rPr>
            </w:pPr>
          </w:p>
        </w:tc>
        <w:tc>
          <w:tcPr>
            <w:tcW w:type="dxa" w:w="2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 xml:space="preserve">ри этом охота с подружейными собаками (с островными и континентальными легавыми собаками, ретриверами, спаниелями) разрешена в период </w:t>
            </w:r>
            <w:r>
              <w:rPr>
                <w:sz w:val="16"/>
                <w:u w:val="single"/>
              </w:rPr>
              <w:t>с четвертой субботы августа по 28 (29) февраля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 w:val="1"/>
                <w:i w:val="1"/>
                <w:sz w:val="16"/>
              </w:rPr>
              <w:t xml:space="preserve">боровая дичь, 26 августа 2023 по </w:t>
            </w:r>
            <w:r>
              <w:rPr>
                <w:b w:val="1"/>
                <w:i w:val="1"/>
                <w:sz w:val="16"/>
              </w:rPr>
              <w:t>29 февраля 2024</w:t>
            </w:r>
            <w:r>
              <w:rPr>
                <w:sz w:val="16"/>
              </w:rPr>
              <w:t>);</w:t>
            </w:r>
          </w:p>
          <w:p w14:paraId="4F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этом охота с подружейными собаками (с островными и континентальными легавыми собаками, ретриверами, спаниелями) разрешена в период </w:t>
            </w:r>
            <w:r>
              <w:rPr>
                <w:sz w:val="16"/>
                <w:u w:val="single"/>
              </w:rPr>
              <w:t>со второй субботы августа сроком на 120 дней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 w:val="1"/>
                <w:i w:val="1"/>
                <w:sz w:val="16"/>
              </w:rPr>
              <w:t>болотно-луговая дичь, с 12 август</w:t>
            </w:r>
            <w:r>
              <w:rPr>
                <w:b w:val="1"/>
                <w:i w:val="1"/>
                <w:sz w:val="16"/>
              </w:rPr>
              <w:t>а 2023 по 09 декабря 2023</w:t>
            </w:r>
            <w:r>
              <w:rPr>
                <w:sz w:val="16"/>
              </w:rPr>
              <w:t>);</w:t>
            </w:r>
          </w:p>
          <w:p w14:paraId="50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этом охота с подружейными собаками (с островными и континентальными легавыми собаками, ретриверами, спаниелями) разрешена в период </w:t>
            </w:r>
            <w:r>
              <w:rPr>
                <w:sz w:val="16"/>
                <w:u w:val="single"/>
              </w:rPr>
              <w:t xml:space="preserve">с </w:t>
            </w:r>
            <w:r>
              <w:rPr>
                <w:sz w:val="16"/>
                <w:u w:val="single"/>
              </w:rPr>
              <w:t>первой субботы сентября по 31 декабря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 w:val="1"/>
                <w:i w:val="1"/>
                <w:sz w:val="16"/>
              </w:rPr>
              <w:t>водоплавающая дичь, со 2 сентяб</w:t>
            </w:r>
            <w:r>
              <w:rPr>
                <w:sz w:val="16"/>
              </w:rPr>
              <w:t>ря 2023 по 31 декабря 2023);</w:t>
            </w:r>
          </w:p>
          <w:p w14:paraId="51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b w:val="1"/>
                <w:sz w:val="16"/>
              </w:rPr>
              <w:t>нормы добычи: каменный глухарь – 1 в сезон, куропатки (белая и тундряная) – 10 в день, болотно-луговая дичь – 10 в день, гуси – 2 в день, утки – 10 в день</w:t>
            </w:r>
          </w:p>
          <w:p w14:paraId="52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ВАЖНО! С 1 января 2021 запрещено применение:</w:t>
            </w:r>
          </w:p>
          <w:p w14:paraId="53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      </w:r>
          </w:p>
          <w:p w14:paraId="54000000">
            <w:pPr>
              <w:ind/>
              <w:jc w:val="both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- охотничьего огнестрельного длинноствольного оружия с нарезным стволом и нарезных стволов охотничьего огнестрельного комбинированного оружия при осуществлении любительской и спортивной охоты для охоты на пернатую дичь, за исключением указанной охоты с таким оружием под патрон кольцевого воспламенения (бокового огня) калибра 5,6 миллиметров на глухаря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16"/>
                <w:shd w:fill="FFD821" w:val="clear"/>
              </w:rPr>
            </w:pPr>
          </w:p>
        </w:tc>
      </w:tr>
      <w:t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16"/>
                <w:shd w:fill="FFD821" w:val="clear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sz w:val="16"/>
                <w:shd w:fill="FFD821" w:val="clear"/>
              </w:rPr>
            </w:pP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  <w:shd w:fill="FFD821" w:val="clear"/>
              </w:rPr>
            </w:pP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16"/>
                <w:shd w:fill="FFD821" w:val="clear"/>
              </w:rPr>
            </w:pPr>
          </w:p>
        </w:tc>
      </w:tr>
      <w:tr>
        <w:trPr>
          <w:trHeight w:hRule="atLeast" w:val="1107"/>
        </w:trP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Боровая дичь (каменный глухарь, белая и тундряная куропатки)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осенью</w:t>
            </w:r>
            <w:r>
              <w:rPr>
                <w:sz w:val="16"/>
              </w:rPr>
              <w:t xml:space="preserve"> (летне-осенний, осенний – зимний периоды)</w:t>
            </w:r>
          </w:p>
          <w:p w14:paraId="5B000000">
            <w:pPr>
              <w:rPr>
                <w:b w:val="1"/>
                <w:sz w:val="16"/>
                <w:shd w:fill="FFD821" w:val="clear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с </w:t>
            </w:r>
            <w:r>
              <w:rPr>
                <w:sz w:val="16"/>
              </w:rPr>
              <w:t>26</w:t>
            </w:r>
            <w:r>
              <w:rPr>
                <w:sz w:val="16"/>
              </w:rPr>
              <w:t xml:space="preserve"> августа</w:t>
            </w:r>
            <w:r>
              <w:rPr>
                <w:sz w:val="16"/>
              </w:rPr>
              <w:t xml:space="preserve"> 2023</w:t>
            </w:r>
            <w:r>
              <w:rPr>
                <w:sz w:val="16"/>
              </w:rPr>
              <w:t xml:space="preserve"> по 29 февраля</w:t>
            </w:r>
            <w:r>
              <w:rPr>
                <w:sz w:val="16"/>
              </w:rPr>
              <w:t xml:space="preserve"> 2024</w:t>
            </w:r>
          </w:p>
          <w:p w14:paraId="5D000000">
            <w:pPr>
              <w:rPr>
                <w:sz w:val="16"/>
                <w:shd w:fill="FFD821" w:val="clear"/>
              </w:rPr>
            </w:pP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16"/>
              </w:rPr>
            </w:pPr>
            <w:r>
              <w:rPr>
                <w:sz w:val="16"/>
              </w:rPr>
              <w:t>Глухарь – 100,0</w:t>
            </w:r>
          </w:p>
          <w:p w14:paraId="60000000">
            <w:pPr>
              <w:rPr>
                <w:sz w:val="16"/>
              </w:rPr>
            </w:pPr>
            <w:r>
              <w:rPr>
                <w:sz w:val="16"/>
              </w:rPr>
              <w:t>Куропатки – не установлен</w:t>
            </w:r>
          </w:p>
        </w:tc>
      </w:tr>
      <w:tr>
        <w:trPr>
          <w:trHeight w:hRule="atLeast" w:val="1096"/>
        </w:trP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Водоплавающая дичь</w:t>
            </w:r>
            <w:r>
              <w:rPr>
                <w:sz w:val="16"/>
              </w:rPr>
              <w:t xml:space="preserve">               </w:t>
            </w:r>
          </w:p>
          <w:p w14:paraId="62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(гуси, утки)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осенью</w:t>
            </w:r>
            <w:r>
              <w:rPr>
                <w:sz w:val="16"/>
              </w:rPr>
              <w:t xml:space="preserve"> (летне-осенний, осенний – зимний периоды)</w:t>
            </w:r>
          </w:p>
          <w:p w14:paraId="63000000">
            <w:pPr>
              <w:rPr>
                <w:sz w:val="16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16"/>
              </w:rPr>
            </w:pPr>
            <w:r>
              <w:rPr>
                <w:sz w:val="16"/>
              </w:rPr>
              <w:t xml:space="preserve">со </w:t>
            </w:r>
            <w:r>
              <w:rPr>
                <w:sz w:val="16"/>
              </w:rPr>
              <w:t>02 сентября 2023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 30 ноября 2023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  <w:tr>
        <w:trPr>
          <w:trHeight w:hRule="atLeast" w:val="860"/>
        </w:trPr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Б</w:t>
            </w:r>
            <w:r>
              <w:rPr>
                <w:b w:val="1"/>
                <w:sz w:val="16"/>
              </w:rPr>
              <w:t>олотн</w:t>
            </w:r>
            <w:r>
              <w:rPr>
                <w:b w:val="1"/>
                <w:sz w:val="16"/>
              </w:rPr>
              <w:t xml:space="preserve">о-луговая дичь             </w:t>
            </w:r>
          </w:p>
          <w:p w14:paraId="68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(бекасы, турухтан, т</w:t>
            </w:r>
            <w:r>
              <w:rPr>
                <w:b w:val="1"/>
                <w:sz w:val="16"/>
              </w:rPr>
              <w:t>у</w:t>
            </w:r>
            <w:r>
              <w:rPr>
                <w:b w:val="1"/>
                <w:sz w:val="16"/>
              </w:rPr>
              <w:t xml:space="preserve">лес, улиты, веретенники, </w:t>
            </w:r>
            <w:r>
              <w:rPr>
                <w:b w:val="1"/>
                <w:sz w:val="16"/>
              </w:rPr>
              <w:t>средний кроншнеп</w:t>
            </w:r>
            <w:r>
              <w:rPr>
                <w:b w:val="1"/>
                <w:sz w:val="16"/>
              </w:rPr>
              <w:t xml:space="preserve">, мородунка, камнешарка) </w:t>
            </w:r>
          </w:p>
          <w:p w14:paraId="69000000">
            <w:pPr>
              <w:rPr>
                <w:sz w:val="16"/>
              </w:rPr>
            </w:pPr>
            <w:r>
              <w:rPr>
                <w:sz w:val="16"/>
              </w:rPr>
              <w:t>осенью (летне-осенний, осенний – зимний периоды)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16"/>
              </w:rPr>
            </w:pPr>
            <w:r>
              <w:rPr>
                <w:sz w:val="16"/>
              </w:rPr>
              <w:t xml:space="preserve">- в период с </w:t>
            </w:r>
            <w:r>
              <w:rPr>
                <w:sz w:val="16"/>
              </w:rPr>
              <w:t>19</w:t>
            </w:r>
            <w:r>
              <w:rPr>
                <w:sz w:val="16"/>
              </w:rPr>
              <w:t xml:space="preserve"> августа </w:t>
            </w:r>
            <w:r>
              <w:rPr>
                <w:sz w:val="16"/>
              </w:rPr>
              <w:t>2023 по 16 ноября 2023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2"/>
              <w:widowControl w:val="1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type="dxa" w:w="2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</w:tbl>
    <w:p w14:paraId="6D000000">
      <w:pPr>
        <w:widowControl w:val="0"/>
        <w:ind w:firstLine="0" w:left="900"/>
        <w:jc w:val="both"/>
        <w:rPr>
          <w:b w:val="1"/>
          <w:sz w:val="22"/>
        </w:rPr>
      </w:pPr>
      <w:r>
        <w:rPr>
          <w:b w:val="1"/>
          <w:sz w:val="22"/>
        </w:rPr>
        <w:t>*</w:t>
      </w:r>
      <w:r>
        <w:rPr>
          <w:b w:val="1"/>
          <w:sz w:val="22"/>
        </w:rPr>
        <w:t xml:space="preserve">Госпошлина </w:t>
      </w:r>
      <w:r>
        <w:rPr>
          <w:b w:val="1"/>
          <w:sz w:val="22"/>
        </w:rPr>
        <w:t xml:space="preserve">при получении разрешения на добычу охотничьих ресурсов на территории общедоступного охотничьего угодья </w:t>
      </w:r>
      <w:r>
        <w:rPr>
          <w:b w:val="1"/>
          <w:sz w:val="22"/>
        </w:rPr>
        <w:t>–</w:t>
      </w:r>
      <w:r>
        <w:rPr>
          <w:b w:val="1"/>
          <w:sz w:val="22"/>
        </w:rPr>
        <w:t xml:space="preserve"> 650 руб.</w:t>
      </w:r>
    </w:p>
    <w:p w14:paraId="6E000000">
      <w:pPr>
        <w:spacing w:before="160"/>
        <w:ind w:firstLine="540" w:left="0"/>
        <w:jc w:val="both"/>
        <w:rPr>
          <w:sz w:val="16"/>
        </w:rPr>
      </w:pPr>
      <w:r>
        <w:rPr>
          <w:sz w:val="16"/>
        </w:rPr>
        <w:t>Запрещается:</w:t>
      </w:r>
    </w:p>
    <w:p w14:paraId="6F000000">
      <w:pPr>
        <w:spacing w:before="160"/>
        <w:ind w:firstLine="540" w:left="0"/>
        <w:jc w:val="both"/>
        <w:rPr>
          <w:sz w:val="16"/>
        </w:rPr>
      </w:pPr>
      <w:r>
        <w:rPr>
          <w:sz w:val="16"/>
        </w:rPr>
        <w:t>1) применение петель для добычи копытных животных, медведей, пушных животных, пернатой дичи, за исключением применения петель для отлова волка (петлями, изготовленными из многожильного металлического троса диаметром не более 4 миллиметров и общей длиной троса не более 150 сантиметров) и зайца-беляка (петлями, изготовленными из одножильной металлической проволоки диаметром не более 1,1 миллиметра и общей длиной проволоки не более 150 сантиметров) в случае осуществления промысловой охоты и охоты в целях регулирования численности охотничьих ресурсов на территории Камчатского края и осуществления любительской и спортивной охоты на территории Корякского округа, способами, которые исключают причинение вреда другим объектам животного мира;</w:t>
      </w:r>
    </w:p>
    <w:p w14:paraId="70000000">
      <w:pPr>
        <w:spacing w:before="160"/>
        <w:ind w:firstLine="540" w:left="0"/>
        <w:jc w:val="both"/>
        <w:rPr>
          <w:sz w:val="16"/>
        </w:rPr>
      </w:pPr>
    </w:p>
    <w:sectPr>
      <w:pgSz w:h="16838" w:orient="portrait" w:w="11906"/>
      <w:pgMar w:bottom="1134" w:footer="709" w:gutter="0" w:header="709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Таблицы (моноширинный)"/>
    <w:basedOn w:val="Style_3"/>
    <w:next w:val="Style_3"/>
    <w:link w:val="Style_20_ch"/>
    <w:pPr>
      <w:widowControl w:val="0"/>
      <w:ind/>
      <w:jc w:val="both"/>
    </w:pPr>
    <w:rPr>
      <w:rFonts w:ascii="Courier New" w:hAnsi="Courier New"/>
      <w:sz w:val="20"/>
    </w:rPr>
  </w:style>
  <w:style w:styleId="Style_20_ch" w:type="character">
    <w:name w:val="Таблицы (моноширинный)"/>
    <w:basedOn w:val="Style_3_ch"/>
    <w:link w:val="Style_20"/>
    <w:rPr>
      <w:rFonts w:ascii="Courier New" w:hAnsi="Courier New"/>
      <w:sz w:val="20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2023-08-24T01:15:50Z</dcterms:modified>
</cp:coreProperties>
</file>