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spacing w:line="276" w:lineRule="auto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я в приложение к приказу Министерства имущественных и земельных отношений Камчатского края от </w:t>
            </w:r>
            <w:r>
              <w:rPr>
                <w:rFonts w:ascii="Times New Roman" w:hAnsi="Times New Roman"/>
                <w:b/>
                <w:sz w:val="28"/>
              </w:rPr>
              <w:t xml:space="preserve">18.12.2023 № 45-Н</w:t>
            </w:r>
            <w:r>
              <w:rPr>
                <w:rFonts w:ascii="Times New Roman" w:hAnsi="Times New Roman"/>
                <w:b/>
                <w:sz w:val="28"/>
              </w:rPr>
              <w:t xml:space="preserve"> «Об определении перечня объектов недвижимого имущества, в отношении которых налоговая база определяется как кадастровая стоимость, на 2024 год»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акционерного общества «Северо-Восточный ремонтный центр»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07.11.2024  № 60/2857,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27.11.2024 № 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пункты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492, 506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ратившими силу.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18 декабря 2023 года.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21</cp:revision>
  <dcterms:created xsi:type="dcterms:W3CDTF">2023-06-01T02:47:00Z</dcterms:created>
  <dcterms:modified xsi:type="dcterms:W3CDTF">2025-01-14T06:04:08Z</dcterms:modified>
</cp:coreProperties>
</file>